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589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bCs/>
          <w:sz w:val="24"/>
        </w:rPr>
      </w:pPr>
      <w:r>
        <w:rPr>
          <w:rFonts w:hint="eastAsia" w:ascii="黑体" w:hAnsi="黑体" w:eastAsia="黑体" w:cs="黑体"/>
          <w:sz w:val="36"/>
          <w:szCs w:val="36"/>
          <w:lang w:val="en-US" w:eastAsia="zh-CN"/>
        </w:rPr>
        <w:t>项目需求书</w:t>
      </w:r>
    </w:p>
    <w:p w14:paraId="388D98EE">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宋体" w:hAnsi="宋体"/>
          <w:b/>
          <w:bCs/>
          <w:sz w:val="24"/>
        </w:rPr>
      </w:pPr>
      <w:r>
        <w:rPr>
          <w:rFonts w:hint="eastAsia" w:ascii="宋体" w:hAnsi="宋体"/>
          <w:b/>
          <w:bCs/>
          <w:sz w:val="24"/>
        </w:rPr>
        <w:t>一、项目名称</w:t>
      </w:r>
    </w:p>
    <w:p w14:paraId="07D0C13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val="en-US" w:eastAsia="zh-CN"/>
        </w:rPr>
        <w:t>财务报表、</w:t>
      </w:r>
      <w:r>
        <w:rPr>
          <w:rFonts w:hint="eastAsia" w:ascii="仿宋_GB2312" w:hAnsi="仿宋_GB2312" w:eastAsia="仿宋_GB2312" w:cs="仿宋_GB2312"/>
          <w:sz w:val="28"/>
          <w:szCs w:val="28"/>
        </w:rPr>
        <w:t>财务收支</w:t>
      </w:r>
      <w:r>
        <w:rPr>
          <w:rFonts w:hint="eastAsia" w:ascii="仿宋_GB2312" w:hAnsi="仿宋_GB2312" w:eastAsia="仿宋_GB2312" w:cs="仿宋_GB2312"/>
          <w:sz w:val="28"/>
          <w:szCs w:val="28"/>
          <w:lang w:val="en-US" w:eastAsia="zh-CN"/>
        </w:rPr>
        <w:t>审计及</w:t>
      </w:r>
      <w:r>
        <w:rPr>
          <w:rFonts w:hint="eastAsia" w:ascii="方正仿宋_GB2312" w:hAnsi="方正仿宋_GB2312" w:eastAsia="方正仿宋_GB2312" w:cs="方正仿宋_GB2312"/>
          <w:i w:val="0"/>
          <w:iCs w:val="0"/>
          <w:caps w:val="0"/>
          <w:color w:val="auto"/>
          <w:spacing w:val="0"/>
          <w:sz w:val="28"/>
          <w:szCs w:val="28"/>
          <w:shd w:val="clear" w:color="auto" w:fill="FFFFFF"/>
        </w:rPr>
        <w:t>内部控制风险评估和内部控制评价</w:t>
      </w:r>
    </w:p>
    <w:p w14:paraId="081DA678">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hint="eastAsia" w:ascii="宋体" w:hAnsi="宋体"/>
          <w:b/>
          <w:bCs/>
          <w:sz w:val="24"/>
        </w:rPr>
      </w:pPr>
      <w:r>
        <w:rPr>
          <w:rFonts w:hint="eastAsia" w:ascii="宋体" w:hAnsi="宋体"/>
          <w:b/>
          <w:bCs/>
          <w:sz w:val="24"/>
        </w:rPr>
        <w:t>二、项目背景和主要内容</w:t>
      </w:r>
    </w:p>
    <w:p w14:paraId="24BB069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积极贯彻、落实国家有关预算、内控、财务收支管理相关法规政策，全面推进内部控制建设，健全、完善内控管理体系，规范内部经济及相关业务活动，天津市第五中心医院生态城医院选聘会计师事务所，对本医院自2024年1月至2024年12月期间的财务报表、财务收支情况和内部控制执行情况进行全面审计，并对生态城医院进行风险评估。</w:t>
      </w:r>
    </w:p>
    <w:p w14:paraId="0A5F9DA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通过该项目审计，及时发现财务收支、内控管理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风险防范</w:t>
      </w:r>
      <w:r>
        <w:rPr>
          <w:rFonts w:hint="eastAsia" w:ascii="仿宋_GB2312" w:hAnsi="仿宋_GB2312" w:eastAsia="仿宋_GB2312" w:cs="仿宋_GB2312"/>
          <w:sz w:val="28"/>
          <w:szCs w:val="28"/>
        </w:rPr>
        <w:t>等方面存在的问题，堵塞管理漏洞，促进本医院服务效能、廉政建设和内部治理水平的不断提高。</w:t>
      </w:r>
    </w:p>
    <w:p w14:paraId="3632DE6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0"/>
        <w:textAlignment w:val="auto"/>
        <w:rPr>
          <w:rFonts w:hint="eastAsia" w:ascii="宋体" w:hAnsi="宋体"/>
          <w:b/>
          <w:bCs/>
          <w:sz w:val="24"/>
        </w:rPr>
      </w:pPr>
      <w:r>
        <w:rPr>
          <w:rFonts w:hint="eastAsia" w:ascii="宋体" w:hAnsi="宋体"/>
          <w:b/>
          <w:bCs/>
          <w:sz w:val="24"/>
        </w:rPr>
        <w:t>项目预算</w:t>
      </w:r>
    </w:p>
    <w:p w14:paraId="743ECB5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万元整</w:t>
      </w:r>
    </w:p>
    <w:p w14:paraId="3C60C79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0"/>
        <w:textAlignment w:val="auto"/>
        <w:rPr>
          <w:rFonts w:hint="eastAsia" w:ascii="宋体" w:hAnsi="宋体"/>
          <w:b/>
          <w:bCs/>
          <w:sz w:val="24"/>
        </w:rPr>
      </w:pPr>
      <w:r>
        <w:rPr>
          <w:rFonts w:hint="eastAsia" w:ascii="宋体" w:hAnsi="宋体"/>
          <w:b/>
          <w:bCs/>
          <w:sz w:val="24"/>
        </w:rPr>
        <w:t>服务期限</w:t>
      </w:r>
    </w:p>
    <w:p w14:paraId="5B565E8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自会计师事务所审计人员入场审计开始，需在</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val="en-US" w:eastAsia="zh-CN"/>
        </w:rPr>
        <w:t>工作日</w:t>
      </w:r>
      <w:r>
        <w:rPr>
          <w:rFonts w:hint="eastAsia" w:ascii="仿宋_GB2312" w:hAnsi="仿宋_GB2312" w:eastAsia="仿宋_GB2312" w:cs="仿宋_GB2312"/>
          <w:sz w:val="28"/>
          <w:szCs w:val="28"/>
        </w:rPr>
        <w:t>之内完成上述审计工作，并出具正式审计报告。</w:t>
      </w:r>
      <w:bookmarkStart w:id="0" w:name="_GoBack"/>
      <w:bookmarkEnd w:id="0"/>
    </w:p>
    <w:p w14:paraId="6751710A">
      <w:pPr>
        <w:keepNext w:val="0"/>
        <w:keepLines w:val="0"/>
        <w:pageBreakBefore w:val="0"/>
        <w:widowControl w:val="0"/>
        <w:kinsoku/>
        <w:wordWrap/>
        <w:overflowPunct/>
        <w:topLinePunct w:val="0"/>
        <w:autoSpaceDE/>
        <w:autoSpaceDN/>
        <w:bidi w:val="0"/>
        <w:adjustRightInd/>
        <w:snapToGrid/>
        <w:spacing w:line="540" w:lineRule="exact"/>
        <w:ind w:firstLine="482"/>
        <w:textAlignment w:val="auto"/>
        <w:rPr>
          <w:rFonts w:ascii="宋体" w:hAnsi="宋体"/>
          <w:sz w:val="24"/>
        </w:rPr>
      </w:pPr>
      <w:r>
        <w:rPr>
          <w:rFonts w:hint="eastAsia" w:ascii="宋体" w:hAnsi="宋体"/>
          <w:b/>
          <w:bCs/>
          <w:sz w:val="24"/>
        </w:rPr>
        <w:t>五、商务需求</w:t>
      </w:r>
    </w:p>
    <w:p w14:paraId="17964E1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1.投标报价包括：投标报价为审计费总价，包括</w:t>
      </w:r>
      <w:r>
        <w:rPr>
          <w:rFonts w:hint="eastAsia" w:ascii="仿宋_GB2312" w:hAnsi="仿宋_GB2312" w:eastAsia="仿宋_GB2312" w:cs="仿宋_GB2312"/>
          <w:sz w:val="28"/>
          <w:szCs w:val="28"/>
          <w:lang w:val="en-US" w:eastAsia="zh-CN"/>
        </w:rPr>
        <w:t>但不限于</w:t>
      </w:r>
      <w:r>
        <w:rPr>
          <w:rFonts w:hint="eastAsia" w:ascii="仿宋_GB2312" w:hAnsi="仿宋_GB2312" w:eastAsia="仿宋_GB2312" w:cs="仿宋_GB2312"/>
          <w:sz w:val="28"/>
          <w:szCs w:val="28"/>
        </w:rPr>
        <w:t>交通费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餐费等</w:t>
      </w:r>
      <w:r>
        <w:rPr>
          <w:rFonts w:hint="eastAsia" w:ascii="仿宋_GB2312" w:hAnsi="仿宋_GB2312" w:eastAsia="仿宋_GB2312" w:cs="仿宋_GB2312"/>
          <w:sz w:val="28"/>
          <w:szCs w:val="28"/>
        </w:rPr>
        <w:t>。</w:t>
      </w:r>
    </w:p>
    <w:p w14:paraId="220BE7D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
          <w:bCs/>
          <w:sz w:val="24"/>
        </w:rPr>
      </w:pPr>
      <w:r>
        <w:rPr>
          <w:rFonts w:hint="eastAsia" w:ascii="仿宋_GB2312" w:hAnsi="仿宋_GB2312" w:eastAsia="仿宋_GB2312" w:cs="仿宋_GB2312"/>
          <w:sz w:val="28"/>
          <w:szCs w:val="28"/>
        </w:rPr>
        <w:t>2.付款方式：审计合同签订时，天津市第五中心医院生态城医院按中标价格向中标会计师事务所预付30%审计费，其余70%款项待会计师事务所出具正式审计报告时支付结清</w:t>
      </w:r>
      <w:r>
        <w:rPr>
          <w:rFonts w:hint="eastAsia" w:ascii="仿宋_GB2312" w:hAnsi="仿宋_GB2312" w:eastAsia="仿宋_GB2312" w:cs="仿宋_GB2312"/>
          <w:sz w:val="32"/>
          <w:szCs w:val="32"/>
        </w:rPr>
        <w:t>。</w:t>
      </w:r>
    </w:p>
    <w:p w14:paraId="71D9F3DA">
      <w:pPr>
        <w:spacing w:line="360" w:lineRule="auto"/>
        <w:ind w:firstLine="482"/>
        <w:rPr>
          <w:rFonts w:ascii="宋体" w:hAnsi="宋体"/>
          <w:b/>
          <w:bCs/>
          <w:sz w:val="24"/>
        </w:rPr>
      </w:pPr>
      <w:r>
        <w:rPr>
          <w:rFonts w:hint="eastAsia" w:ascii="宋体" w:hAnsi="宋体"/>
          <w:b/>
          <w:bCs/>
          <w:sz w:val="24"/>
        </w:rPr>
        <w:t>六、服务技术需求</w:t>
      </w:r>
    </w:p>
    <w:tbl>
      <w:tblPr>
        <w:tblStyle w:val="2"/>
        <w:tblW w:w="850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7"/>
        <w:gridCol w:w="1665"/>
        <w:gridCol w:w="5085"/>
        <w:gridCol w:w="998"/>
      </w:tblGrid>
      <w:tr w14:paraId="2834A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7C8E80A5">
            <w:pPr>
              <w:ind w:firstLine="0" w:firstLineChars="0"/>
              <w:jc w:val="center"/>
              <w:rPr>
                <w:rFonts w:ascii="宋体" w:hAnsi="宋体" w:cs="宋体"/>
                <w:b/>
                <w:bCs/>
                <w:kern w:val="0"/>
                <w:sz w:val="24"/>
              </w:rPr>
            </w:pPr>
            <w:r>
              <w:rPr>
                <w:rFonts w:hint="eastAsia" w:ascii="宋体" w:hAnsi="宋体" w:cs="宋体"/>
                <w:b/>
                <w:bCs/>
                <w:kern w:val="0"/>
                <w:sz w:val="24"/>
              </w:rPr>
              <w:t>序号</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01312158">
            <w:pPr>
              <w:ind w:firstLine="0" w:firstLineChars="0"/>
              <w:jc w:val="center"/>
              <w:rPr>
                <w:rFonts w:ascii="宋体" w:hAnsi="宋体" w:cs="宋体"/>
                <w:b/>
                <w:bCs/>
                <w:kern w:val="0"/>
                <w:sz w:val="24"/>
              </w:rPr>
            </w:pPr>
            <w:r>
              <w:rPr>
                <w:rFonts w:hint="eastAsia" w:ascii="宋体" w:hAnsi="宋体" w:cs="宋体"/>
                <w:b/>
                <w:bCs/>
                <w:kern w:val="0"/>
                <w:sz w:val="24"/>
              </w:rPr>
              <w:t>项目内容</w:t>
            </w:r>
          </w:p>
        </w:tc>
        <w:tc>
          <w:tcPr>
            <w:tcW w:w="5085" w:type="dxa"/>
            <w:tcBorders>
              <w:top w:val="single" w:color="auto" w:sz="8" w:space="0"/>
              <w:left w:val="single" w:color="auto" w:sz="8" w:space="0"/>
              <w:bottom w:val="single" w:color="auto" w:sz="8" w:space="0"/>
              <w:right w:val="single" w:color="auto" w:sz="8" w:space="0"/>
            </w:tcBorders>
            <w:noWrap w:val="0"/>
            <w:vAlign w:val="center"/>
          </w:tcPr>
          <w:p w14:paraId="0A79DD38">
            <w:pPr>
              <w:ind w:firstLine="0" w:firstLineChars="0"/>
              <w:jc w:val="center"/>
              <w:rPr>
                <w:rFonts w:ascii="宋体" w:hAnsi="宋体" w:cs="宋体"/>
                <w:b/>
                <w:bCs/>
                <w:kern w:val="0"/>
                <w:sz w:val="24"/>
              </w:rPr>
            </w:pPr>
            <w:r>
              <w:rPr>
                <w:rFonts w:hint="eastAsia" w:ascii="宋体" w:hAnsi="宋体" w:cs="宋体"/>
                <w:b/>
                <w:bCs/>
                <w:kern w:val="0"/>
                <w:sz w:val="24"/>
              </w:rPr>
              <w:t>参数</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24E5B9BC">
            <w:pPr>
              <w:ind w:firstLine="0" w:firstLineChars="0"/>
              <w:jc w:val="center"/>
              <w:rPr>
                <w:rFonts w:ascii="宋体" w:hAnsi="宋体" w:cs="宋体"/>
                <w:b/>
                <w:bCs/>
                <w:kern w:val="0"/>
                <w:sz w:val="24"/>
              </w:rPr>
            </w:pPr>
            <w:r>
              <w:rPr>
                <w:rFonts w:hint="eastAsia" w:ascii="宋体" w:hAnsi="宋体" w:cs="宋体"/>
                <w:b/>
                <w:bCs/>
                <w:kern w:val="0"/>
                <w:sz w:val="24"/>
              </w:rPr>
              <w:t>备注</w:t>
            </w:r>
          </w:p>
        </w:tc>
      </w:tr>
      <w:tr w14:paraId="3BB2E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70697C42">
            <w:pPr>
              <w:ind w:firstLine="0" w:firstLineChars="0"/>
              <w:jc w:val="center"/>
              <w:rPr>
                <w:rFonts w:ascii="宋体" w:hAnsi="宋体" w:cs="宋体"/>
                <w:kern w:val="0"/>
                <w:sz w:val="24"/>
              </w:rPr>
            </w:pPr>
            <w:r>
              <w:rPr>
                <w:rFonts w:hint="eastAsia" w:ascii="宋体" w:hAnsi="宋体" w:cs="宋体"/>
                <w:kern w:val="0"/>
                <w:sz w:val="24"/>
              </w:rPr>
              <w:t>1</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6A90C8F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各类指标情况</w:t>
            </w:r>
          </w:p>
        </w:tc>
        <w:tc>
          <w:tcPr>
            <w:tcW w:w="5085" w:type="dxa"/>
            <w:tcBorders>
              <w:top w:val="single" w:color="auto" w:sz="8" w:space="0"/>
              <w:left w:val="single" w:color="auto" w:sz="8" w:space="0"/>
              <w:right w:val="single" w:color="auto" w:sz="8" w:space="0"/>
            </w:tcBorders>
            <w:noWrap w:val="0"/>
            <w:vAlign w:val="top"/>
          </w:tcPr>
          <w:p w14:paraId="77DA7365">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预算管理指标、结余和风险管理指标、资产运营指标、成本管理指标、收支结构指标、发展能力指标和其他类指标。</w:t>
            </w:r>
          </w:p>
        </w:tc>
        <w:tc>
          <w:tcPr>
            <w:tcW w:w="998" w:type="dxa"/>
            <w:tcBorders>
              <w:top w:val="single" w:color="auto" w:sz="8" w:space="0"/>
              <w:left w:val="single" w:color="auto" w:sz="8" w:space="0"/>
              <w:bottom w:val="single" w:color="auto" w:sz="8" w:space="0"/>
              <w:right w:val="single" w:color="auto" w:sz="8" w:space="0"/>
            </w:tcBorders>
            <w:noWrap w:val="0"/>
            <w:vAlign w:val="top"/>
          </w:tcPr>
          <w:p w14:paraId="200B4037">
            <w:pPr>
              <w:ind w:firstLine="0" w:firstLineChars="0"/>
              <w:jc w:val="left"/>
              <w:rPr>
                <w:rFonts w:ascii="宋体" w:hAnsi="宋体"/>
                <w:sz w:val="24"/>
              </w:rPr>
            </w:pPr>
          </w:p>
        </w:tc>
      </w:tr>
      <w:tr w14:paraId="20608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right w:val="single" w:color="auto" w:sz="8" w:space="0"/>
            </w:tcBorders>
            <w:noWrap w:val="0"/>
            <w:vAlign w:val="center"/>
          </w:tcPr>
          <w:p w14:paraId="7C4CDA4B">
            <w:pPr>
              <w:ind w:firstLine="0" w:firstLineChars="0"/>
              <w:jc w:val="center"/>
              <w:rPr>
                <w:rFonts w:ascii="宋体" w:hAnsi="宋体" w:cs="宋体"/>
                <w:kern w:val="0"/>
                <w:sz w:val="24"/>
              </w:rPr>
            </w:pPr>
            <w:r>
              <w:rPr>
                <w:rFonts w:hint="eastAsia" w:ascii="宋体" w:hAnsi="宋体" w:cs="宋体"/>
                <w:kern w:val="0"/>
                <w:sz w:val="24"/>
              </w:rPr>
              <w:t>2</w:t>
            </w:r>
          </w:p>
        </w:tc>
        <w:tc>
          <w:tcPr>
            <w:tcW w:w="1665" w:type="dxa"/>
            <w:tcBorders>
              <w:top w:val="single" w:color="auto" w:sz="8" w:space="0"/>
              <w:left w:val="single" w:color="auto" w:sz="8" w:space="0"/>
              <w:right w:val="single" w:color="auto" w:sz="8" w:space="0"/>
            </w:tcBorders>
            <w:noWrap w:val="0"/>
            <w:vAlign w:val="center"/>
          </w:tcPr>
          <w:p w14:paraId="7509D8A9">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医院的预算执行情况、财政、财务收支情况</w:t>
            </w:r>
          </w:p>
        </w:tc>
        <w:tc>
          <w:tcPr>
            <w:tcW w:w="5085" w:type="dxa"/>
            <w:tcBorders>
              <w:top w:val="single" w:color="auto" w:sz="8" w:space="0"/>
              <w:left w:val="single" w:color="auto" w:sz="8" w:space="0"/>
              <w:right w:val="single" w:color="auto" w:sz="8" w:space="0"/>
            </w:tcBorders>
            <w:noWrap w:val="0"/>
            <w:vAlign w:val="top"/>
          </w:tcPr>
          <w:p w14:paraId="6DAC7010">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无预算执行不严格，擅自调整预算，预算外收入未纳入预算管理等问题；重点审查是否将所有的资金收入及其安排的支出全部纳入部门预算管理；重点审查行政事业性收费是否符合有关财经法规；在费用支出审计中，重点审查是否符合相关的法律法规和预算的要求。</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666AC214">
            <w:pPr>
              <w:ind w:firstLine="0" w:firstLineChars="0"/>
              <w:jc w:val="left"/>
              <w:rPr>
                <w:rFonts w:ascii="宋体" w:hAnsi="宋体" w:cs="宋体"/>
                <w:kern w:val="0"/>
                <w:sz w:val="24"/>
              </w:rPr>
            </w:pPr>
          </w:p>
        </w:tc>
      </w:tr>
      <w:tr w14:paraId="53E1C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48649B10">
            <w:pPr>
              <w:ind w:firstLine="0" w:firstLineChars="0"/>
              <w:jc w:val="center"/>
              <w:rPr>
                <w:rFonts w:hint="eastAsia" w:ascii="宋体" w:hAnsi="宋体" w:cs="宋体"/>
                <w:kern w:val="0"/>
                <w:sz w:val="24"/>
              </w:rPr>
            </w:pPr>
            <w:r>
              <w:rPr>
                <w:rFonts w:hint="eastAsia" w:ascii="宋体" w:hAnsi="宋体" w:cs="宋体"/>
                <w:kern w:val="0"/>
                <w:sz w:val="24"/>
              </w:rPr>
              <w:t>3</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26CE21F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财务管理</w:t>
            </w:r>
          </w:p>
        </w:tc>
        <w:tc>
          <w:tcPr>
            <w:tcW w:w="5085" w:type="dxa"/>
            <w:tcBorders>
              <w:top w:val="single" w:color="auto" w:sz="8" w:space="0"/>
              <w:left w:val="single" w:color="auto" w:sz="8" w:space="0"/>
              <w:bottom w:val="single" w:color="auto" w:sz="8" w:space="0"/>
              <w:right w:val="single" w:color="auto" w:sz="8" w:space="0"/>
            </w:tcBorders>
            <w:noWrap w:val="0"/>
            <w:vAlign w:val="top"/>
          </w:tcPr>
          <w:p w14:paraId="447A3D1E">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账务处理是否正确，有无存在坐收坐支、少记收入等情况；</w:t>
            </w:r>
          </w:p>
          <w:p w14:paraId="66CF5ECC">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固定资产管理是否规范，有无定期盘点，报废手续是否完整等；</w:t>
            </w:r>
          </w:p>
          <w:p w14:paraId="1B30463E">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往来账款有无及时清理等。</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56456D1C">
            <w:pPr>
              <w:ind w:firstLine="0" w:firstLineChars="0"/>
              <w:jc w:val="left"/>
              <w:rPr>
                <w:rFonts w:ascii="宋体" w:hAnsi="宋体" w:cs="宋体"/>
                <w:kern w:val="0"/>
                <w:sz w:val="24"/>
              </w:rPr>
            </w:pPr>
          </w:p>
        </w:tc>
      </w:tr>
      <w:tr w14:paraId="0A317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5C73BC89">
            <w:pPr>
              <w:ind w:firstLine="0" w:firstLineChars="0"/>
              <w:jc w:val="center"/>
              <w:rPr>
                <w:rFonts w:ascii="宋体" w:hAnsi="宋体" w:cs="宋体"/>
                <w:kern w:val="0"/>
                <w:sz w:val="24"/>
              </w:rPr>
            </w:pPr>
            <w:r>
              <w:rPr>
                <w:rFonts w:hint="eastAsia" w:ascii="宋体" w:hAnsi="宋体" w:cs="宋体"/>
                <w:kern w:val="0"/>
                <w:sz w:val="24"/>
              </w:rPr>
              <w:t>4</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00CA919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财务核算情况</w:t>
            </w:r>
          </w:p>
        </w:tc>
        <w:tc>
          <w:tcPr>
            <w:tcW w:w="5085" w:type="dxa"/>
            <w:tcBorders>
              <w:top w:val="single" w:color="auto" w:sz="8" w:space="0"/>
              <w:left w:val="single" w:color="auto" w:sz="8" w:space="0"/>
              <w:bottom w:val="single" w:color="auto" w:sz="8" w:space="0"/>
              <w:right w:val="single" w:color="auto" w:sz="8" w:space="0"/>
            </w:tcBorders>
            <w:noWrap w:val="0"/>
            <w:vAlign w:val="top"/>
          </w:tcPr>
          <w:p w14:paraId="6F03E877">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财务核算模式、科目设置是否符合医院实际情况等。</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14D68029">
            <w:pPr>
              <w:ind w:firstLine="0" w:firstLineChars="0"/>
              <w:jc w:val="left"/>
              <w:rPr>
                <w:rFonts w:ascii="宋体" w:hAnsi="宋体" w:cs="宋体"/>
                <w:kern w:val="0"/>
                <w:sz w:val="24"/>
              </w:rPr>
            </w:pPr>
          </w:p>
        </w:tc>
      </w:tr>
      <w:tr w14:paraId="0CE3E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111C0B4A">
            <w:pPr>
              <w:ind w:firstLine="0" w:firstLineChars="0"/>
              <w:jc w:val="center"/>
              <w:rPr>
                <w:rFonts w:ascii="宋体" w:hAnsi="宋体" w:cs="宋体"/>
                <w:kern w:val="0"/>
                <w:sz w:val="24"/>
              </w:rPr>
            </w:pPr>
            <w:r>
              <w:rPr>
                <w:rFonts w:hint="eastAsia" w:ascii="宋体" w:hAnsi="宋体" w:cs="宋体"/>
                <w:kern w:val="0"/>
                <w:sz w:val="24"/>
              </w:rPr>
              <w:t>5</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6C9C3A0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政府采购、招标采购执行情况</w:t>
            </w:r>
          </w:p>
        </w:tc>
        <w:tc>
          <w:tcPr>
            <w:tcW w:w="5085" w:type="dxa"/>
            <w:tcBorders>
              <w:top w:val="single" w:color="auto" w:sz="8" w:space="0"/>
              <w:left w:val="single" w:color="auto" w:sz="8" w:space="0"/>
              <w:bottom w:val="single" w:color="auto" w:sz="8" w:space="0"/>
              <w:right w:val="single" w:color="auto" w:sz="8" w:space="0"/>
            </w:tcBorders>
            <w:noWrap w:val="0"/>
            <w:vAlign w:val="top"/>
          </w:tcPr>
          <w:p w14:paraId="1E68B91E">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属于政府采购范围的货物、工程、服务的采购，执行相关政府采购法律法规的情况，达到限额标准的采购是否采用招标方式，采购方式和程序是否符合规定。重点审查是否存在以化整为零、拆分等方式规避政府采购或招标；合同到期后是否又重新执行新的采购流程；招标过程中是否在招标文件中设置有倾向或者排斥潜在供应商的内容等方面。</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70AFDAA5">
            <w:pPr>
              <w:ind w:firstLine="0" w:firstLineChars="0"/>
              <w:jc w:val="left"/>
              <w:rPr>
                <w:rFonts w:ascii="宋体" w:hAnsi="宋体" w:cs="宋体"/>
                <w:kern w:val="0"/>
                <w:sz w:val="24"/>
              </w:rPr>
            </w:pPr>
          </w:p>
        </w:tc>
      </w:tr>
      <w:tr w14:paraId="0C059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bottom w:val="single" w:color="auto" w:sz="8" w:space="0"/>
              <w:right w:val="single" w:color="auto" w:sz="8" w:space="0"/>
            </w:tcBorders>
            <w:noWrap w:val="0"/>
            <w:vAlign w:val="center"/>
          </w:tcPr>
          <w:p w14:paraId="5E87A3CE">
            <w:pPr>
              <w:ind w:firstLine="0" w:firstLineChars="0"/>
              <w:jc w:val="center"/>
              <w:rPr>
                <w:rFonts w:ascii="宋体" w:hAnsi="宋体" w:cs="宋体"/>
                <w:kern w:val="0"/>
                <w:sz w:val="24"/>
              </w:rPr>
            </w:pPr>
            <w:r>
              <w:rPr>
                <w:rFonts w:hint="eastAsia" w:ascii="宋体" w:hAnsi="宋体" w:cs="宋体"/>
                <w:kern w:val="0"/>
                <w:sz w:val="24"/>
              </w:rPr>
              <w:t>6</w:t>
            </w:r>
          </w:p>
        </w:tc>
        <w:tc>
          <w:tcPr>
            <w:tcW w:w="1665" w:type="dxa"/>
            <w:tcBorders>
              <w:top w:val="single" w:color="auto" w:sz="8" w:space="0"/>
              <w:left w:val="single" w:color="auto" w:sz="8" w:space="0"/>
              <w:bottom w:val="single" w:color="auto" w:sz="8" w:space="0"/>
              <w:right w:val="single" w:color="auto" w:sz="8" w:space="0"/>
            </w:tcBorders>
            <w:noWrap w:val="0"/>
            <w:vAlign w:val="center"/>
          </w:tcPr>
          <w:p w14:paraId="72F63F2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重大经济决策情况</w:t>
            </w:r>
          </w:p>
        </w:tc>
        <w:tc>
          <w:tcPr>
            <w:tcW w:w="5085" w:type="dxa"/>
            <w:tcBorders>
              <w:top w:val="single" w:color="auto" w:sz="8" w:space="0"/>
              <w:left w:val="single" w:color="auto" w:sz="8" w:space="0"/>
              <w:bottom w:val="single" w:color="auto" w:sz="8" w:space="0"/>
              <w:right w:val="single" w:color="auto" w:sz="8" w:space="0"/>
            </w:tcBorders>
            <w:noWrap w:val="0"/>
            <w:vAlign w:val="top"/>
          </w:tcPr>
          <w:p w14:paraId="666FBC70">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包括重大经济决策管理制度的建立健全；重大经济决策项目的决策情况，有关决策事项内容的合法性、程序的合规性、执行的有效情况；具体重大经济决策项目（或重大财政支出项目）的执行情况等。</w:t>
            </w:r>
          </w:p>
        </w:tc>
        <w:tc>
          <w:tcPr>
            <w:tcW w:w="998" w:type="dxa"/>
            <w:tcBorders>
              <w:top w:val="single" w:color="auto" w:sz="8" w:space="0"/>
              <w:left w:val="single" w:color="auto" w:sz="8" w:space="0"/>
              <w:bottom w:val="single" w:color="auto" w:sz="8" w:space="0"/>
              <w:right w:val="single" w:color="auto" w:sz="8" w:space="0"/>
            </w:tcBorders>
            <w:noWrap w:val="0"/>
            <w:vAlign w:val="center"/>
          </w:tcPr>
          <w:p w14:paraId="2F73AAEC">
            <w:pPr>
              <w:ind w:firstLine="0" w:firstLineChars="0"/>
              <w:jc w:val="left"/>
              <w:rPr>
                <w:rFonts w:ascii="宋体" w:hAnsi="宋体" w:cs="宋体"/>
                <w:kern w:val="0"/>
                <w:sz w:val="24"/>
              </w:rPr>
            </w:pPr>
          </w:p>
        </w:tc>
      </w:tr>
      <w:tr w14:paraId="2F285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trPr>
        <w:tc>
          <w:tcPr>
            <w:tcW w:w="757" w:type="dxa"/>
            <w:tcBorders>
              <w:top w:val="single" w:color="auto" w:sz="8" w:space="0"/>
              <w:left w:val="single" w:color="auto" w:sz="8" w:space="0"/>
              <w:right w:val="single" w:color="auto" w:sz="8" w:space="0"/>
            </w:tcBorders>
            <w:noWrap w:val="0"/>
            <w:vAlign w:val="center"/>
          </w:tcPr>
          <w:p w14:paraId="3D086DE8">
            <w:pPr>
              <w:ind w:firstLine="0" w:firstLineChars="0"/>
              <w:jc w:val="center"/>
              <w:rPr>
                <w:rFonts w:ascii="宋体" w:hAnsi="宋体" w:cs="宋体"/>
                <w:kern w:val="0"/>
                <w:sz w:val="24"/>
              </w:rPr>
            </w:pPr>
            <w:r>
              <w:rPr>
                <w:rFonts w:hint="eastAsia" w:ascii="宋体" w:hAnsi="宋体" w:cs="宋体"/>
                <w:kern w:val="0"/>
                <w:sz w:val="24"/>
              </w:rPr>
              <w:t>7</w:t>
            </w:r>
          </w:p>
        </w:tc>
        <w:tc>
          <w:tcPr>
            <w:tcW w:w="1665" w:type="dxa"/>
            <w:tcBorders>
              <w:top w:val="single" w:color="auto" w:sz="8" w:space="0"/>
              <w:left w:val="single" w:color="auto" w:sz="8" w:space="0"/>
              <w:right w:val="single" w:color="auto" w:sz="8" w:space="0"/>
            </w:tcBorders>
            <w:noWrap w:val="0"/>
            <w:vAlign w:val="center"/>
          </w:tcPr>
          <w:p w14:paraId="20DE20C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内部管理制度的建立及执行情况</w:t>
            </w:r>
          </w:p>
        </w:tc>
        <w:tc>
          <w:tcPr>
            <w:tcW w:w="5085" w:type="dxa"/>
            <w:tcBorders>
              <w:top w:val="single" w:color="auto" w:sz="8" w:space="0"/>
              <w:left w:val="single" w:color="auto" w:sz="8" w:space="0"/>
              <w:right w:val="single" w:color="auto" w:sz="8" w:space="0"/>
            </w:tcBorders>
            <w:noWrap w:val="0"/>
            <w:vAlign w:val="top"/>
          </w:tcPr>
          <w:p w14:paraId="3A819528">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查重要内部经济管理制度的建立和执行，检查各种资金拨付制度、印章管理制度、重大经济活动的管理和监督制度等各项内控制度的建立和执行情况。重点审查对采购环节、支付环节、资产管理环节内部制约机制的健全有效性、重点资金管理和使用情况，是否存在制度执行走形式、走过场的问题；是否存在有制度不执行，或者执行制度不彻底、不到位的情况;分析在执行制度过程中存在哪些风险和漏洞。</w:t>
            </w:r>
          </w:p>
        </w:tc>
        <w:tc>
          <w:tcPr>
            <w:tcW w:w="998" w:type="dxa"/>
            <w:tcBorders>
              <w:top w:val="single" w:color="auto" w:sz="8" w:space="0"/>
              <w:left w:val="single" w:color="auto" w:sz="8" w:space="0"/>
              <w:right w:val="single" w:color="auto" w:sz="8" w:space="0"/>
            </w:tcBorders>
            <w:noWrap w:val="0"/>
            <w:vAlign w:val="center"/>
          </w:tcPr>
          <w:p w14:paraId="2423066B">
            <w:pPr>
              <w:ind w:firstLine="0" w:firstLineChars="0"/>
              <w:jc w:val="left"/>
              <w:rPr>
                <w:rFonts w:ascii="宋体" w:hAnsi="宋体" w:cs="宋体"/>
                <w:kern w:val="0"/>
                <w:sz w:val="24"/>
              </w:rPr>
            </w:pPr>
          </w:p>
        </w:tc>
      </w:tr>
    </w:tbl>
    <w:p w14:paraId="330E483C">
      <w:pPr>
        <w:spacing w:line="460" w:lineRule="exact"/>
        <w:ind w:firstLine="482"/>
        <w:rPr>
          <w:rFonts w:ascii="宋体" w:hAnsi="宋体"/>
          <w:b/>
          <w:bCs/>
          <w:sz w:val="24"/>
        </w:rPr>
      </w:pPr>
      <w:r>
        <w:rPr>
          <w:rFonts w:hint="eastAsia" w:ascii="宋体" w:hAnsi="宋体"/>
          <w:b/>
          <w:bCs/>
          <w:sz w:val="24"/>
        </w:rPr>
        <w:t>七、对服务承诺要求：</w:t>
      </w:r>
    </w:p>
    <w:p w14:paraId="2AE856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投标的会计师事务所审计人员，需恪守审计准则和注册会计师职业道德规范，勤勉尽责，客观、公正，保质保量按时完成该项目审计工作。</w:t>
      </w:r>
    </w:p>
    <w:p w14:paraId="0076897B"/>
    <w:sectPr>
      <w:pgSz w:w="11906" w:h="16838"/>
      <w:pgMar w:top="1950" w:right="1519" w:bottom="166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DAB34"/>
    <w:multiLevelType w:val="singleLevel"/>
    <w:tmpl w:val="6CEDAB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jg5OTMzNTBjMWQzOTkxZmQ5OTdkM2EzNDJhMDgifQ=="/>
  </w:docVars>
  <w:rsids>
    <w:rsidRoot w:val="578C2C9A"/>
    <w:rsid w:val="006A17CF"/>
    <w:rsid w:val="0A2F247A"/>
    <w:rsid w:val="21A35A3E"/>
    <w:rsid w:val="4A425DE3"/>
    <w:rsid w:val="578C2C9A"/>
    <w:rsid w:val="78475A4D"/>
    <w:rsid w:val="7A6B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1288</Words>
  <Characters>1305</Characters>
  <Lines>0</Lines>
  <Paragraphs>0</Paragraphs>
  <TotalTime>3</TotalTime>
  <ScaleCrop>false</ScaleCrop>
  <LinksUpToDate>false</LinksUpToDate>
  <CharactersWithSpaces>1305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2024-05-23T06:58:00Z</dcterms:created>
  <dc:creator>Crystal</dc:creator>
  <cp:lastModifiedBy>Crystal</cp:lastModifiedBy>
  <dcterms:modified xsi:type="dcterms:W3CDTF">2025-07-17T06:30:40Z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BA41718D2A3547E983B5B3AA029D6C5A_11</vt:lpwstr>
  </property>
  <property fmtid="{D5CDD505-2E9C-101B-9397-08002B2CF9AE}" pid="4" name="KSOTemplateDocerSaveRecord">
    <vt:lpwstr>eyJoZGlkIjoiZDZlZjg5OTMzNTBjMWQzOTkxZmQ5OTdkM2EzNDJhMDgiLCJ1c2VySWQiOiIzMzc0MTE1MDUifQ==</vt:lpwstr>
  </property>
</Properties>
</file>