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附件：</w:t>
      </w:r>
    </w:p>
    <w:p>
      <w:pPr>
        <w:ind w:firstLine="643"/>
        <w:jc w:val="center"/>
        <w:outlineLvl w:val="2"/>
        <w:rPr>
          <w:rFonts w:ascii="宋体" w:hAnsi="宋体" w:cs="Arial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Arial"/>
          <w:b/>
          <w:color w:val="auto"/>
          <w:sz w:val="32"/>
          <w:szCs w:val="32"/>
          <w:highlight w:val="none"/>
        </w:rPr>
        <w:t>项目需求书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项目背景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本项目为天津医科大学中新生态城医院手术室层流设备维护服务。</w:t>
      </w:r>
    </w:p>
    <w:p>
      <w:pPr>
        <w:widowControl/>
        <w:numPr>
          <w:ilvl w:val="0"/>
          <w:numId w:val="1"/>
        </w:numPr>
        <w:spacing w:line="360" w:lineRule="auto"/>
        <w:ind w:left="570" w:leftChars="0" w:hanging="570" w:firstLineChars="0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服务内容</w:t>
      </w:r>
    </w:p>
    <w:tbl>
      <w:tblPr>
        <w:tblStyle w:val="7"/>
        <w:tblW w:w="84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5924"/>
        <w:gridCol w:w="920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净化空调机组维修、零配件更换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手术部自动门维修、更换零配件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樘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风机盘管过滤器清洗、维修、零配件更换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排风机维护、维修更换零配件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恒温恒湿自控系统维护、维修、更换零配件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加湿器定期维护、维修和更换配件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高效送风口检漏、维修和保养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风阀维修或更换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百叶粗效、维修或更换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空调水管、水阀等配件漏水、检修、维修和保养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风管、水管橡塑保温层开裂修补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平米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压力表温度表维修或更换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手术室控制面板维修更换配件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电加热维修更换配件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温度传感器校验、检测维修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感应刷手池维修更换配件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隔离变压器维护维修更换配件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手术室配电箱检修、更换配件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手术部灯具维修、更换配件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手术部背景音乐、呼叫系统维护更换配件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pStyle w:val="5"/>
        <w:spacing w:line="360" w:lineRule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注：上述工作内容为计划内容，具体以实际现场情况及采购单位要求为准，投标单位须自行踏勘现场，全面考虑有可能影响报价的因素，均含在报价内。</w:t>
      </w:r>
    </w:p>
    <w:p>
      <w:pPr>
        <w:widowControl/>
        <w:numPr>
          <w:ilvl w:val="0"/>
          <w:numId w:val="1"/>
        </w:numPr>
        <w:spacing w:line="360" w:lineRule="auto"/>
        <w:ind w:left="570" w:leftChars="0" w:hanging="570" w:firstLineChars="0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服务要求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净化空调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系统每月保养次数≥1次；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中标单位须检查风机电机轴承运行情况，添加润滑油，必要时进行更换；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检查风机电机绝缘情况；检查电机电源及各接线端是否松动、电机各相电流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检查并调整风机皮带松紧程度，必要时进行更换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检查、调整风机的运转使之不产生异常的震动及噪音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检查柜体表面，做好防腐处理；检查机架情况，使风柜安装良好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清洗风柜内表面、散热翅片；清理风机叶轮、凝水盘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检查机组换热情况，检查阀门管道有无堵塞情况，必要时进行换热管道的疏通清洗工作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检查加湿器的工作状态、加湿量与信号模量的比例关系是否正常，检查桶内的水位情况、排水是否通畅、相间电流是否平衡，并及时维护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检查加湿器桶内的结垢情况和电极的腐蚀状态，必要时需要进行更换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检查机组内的初效过滤器每月清洗或更换1次、中效过滤器、亚高效过滤器每半年更换1次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检查机组内杀菌装置是否正常，如有损坏应立即更换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每半年清洁一次热交换器的翅片，肋片有压倒的要用弛梳梳好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检查风管道与设备间的软连接是否紧密和有无破损的情况，如有松动应及时紧固，必要时应进行更换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清洗新风机组、循环机组的初、中效过滤器、回风口、排风口并进行记录中效压差检查，及时更换风阻超过要求及破损的过滤器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中标单位须对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防火阀、电动密闭阀、风量阀、定风量阀及手动阀的检查、维护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中标单位须对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系统中电加热器阻值检测≥2次/年，更换老化的电热管，并根据检测数据进行保养维修或更换；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每周对手术室及辅助房的回风口清洗≥1次，回风口的中效过滤器更换≥3次/年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中标单位须对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手术室及辅助房的排风口清洗≥1次/周，排风口的中效过滤器更换≥3次/年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检查风管绝热层，如有超温、老化、破损须及时修补或更换；并积极作好保温材料的维护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检查送排静压箱及送风装置，静压箱应密封严密，保温良好，口面风速均匀合理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中标单位须对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系统的支吊构件检查、修复、除锈刷漆支吊构件必须牢固，及时修复和紧固。锈蚀的要除锈刷漆处理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检查机组制冷剂的充注量，检查接口是否存在泄漏，对有泄漏的机组查出漏点进行有效处理，对制冷剂不足的机组进行充注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检查机组干燥过滤器，必要时进行更换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检测机组压缩机电机、电磁阀线圈、冷凝器风机电机的绝缘情况，检查各电磁阀的工作情况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检查清理控制柜，检查各接触器、继电器、检查各接线端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中标单位须检查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手术室情报面板各模块显示是否正常，触摸是否灵敏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widowControl/>
        <w:numPr>
          <w:ilvl w:val="0"/>
          <w:numId w:val="2"/>
        </w:numPr>
        <w:spacing w:line="360" w:lineRule="auto"/>
        <w:ind w:left="5" w:leftChars="0" w:firstLine="475" w:firstLineChars="0"/>
        <w:jc w:val="left"/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Hans" w:bidi="ar-SA"/>
        </w:rPr>
        <w:t>响应速度：出现故障时，接到通知3小时内到达现场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highlight w:val="none"/>
          <w:lang w:val="en-US" w:eastAsia="zh-CN" w:bidi="ar-SA"/>
        </w:rPr>
        <w:t>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B1CEF"/>
    <w:multiLevelType w:val="singleLevel"/>
    <w:tmpl w:val="568B1C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3C81E8A"/>
    <w:multiLevelType w:val="multilevel"/>
    <w:tmpl w:val="73C81E8A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CEE36E5"/>
    <w:rsid w:val="55713605"/>
    <w:rsid w:val="5CE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qFormat/>
    <w:uiPriority w:val="0"/>
    <w:pPr>
      <w:autoSpaceDE w:val="0"/>
      <w:autoSpaceDN w:val="0"/>
      <w:jc w:val="center"/>
    </w:pPr>
    <w:rPr>
      <w:rFonts w:ascii="仿宋_GB2312"/>
      <w:kern w:val="0"/>
      <w:sz w:val="24"/>
    </w:rPr>
  </w:style>
  <w:style w:type="paragraph" w:styleId="5">
    <w:name w:val="annotation text"/>
    <w:basedOn w:val="1"/>
    <w:next w:val="3"/>
    <w:qFormat/>
    <w:uiPriority w:val="99"/>
    <w:pPr>
      <w:jc w:val="left"/>
    </w:pPr>
    <w:rPr>
      <w:rFonts w:ascii="Calibri" w:hAnsi="Calibri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2"/>
    <w:basedOn w:val="1"/>
    <w:qFormat/>
    <w:uiPriority w:val="0"/>
    <w:pPr>
      <w:wordWrap w:val="0"/>
      <w:ind w:firstLine="0" w:firstLineChars="0"/>
      <w:textAlignment w:val="center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2023-08-01T06:43:00Z</dcterms:created>
  <dc:creator>杰么娜</dc:creator>
  <cp:lastModifiedBy>杰么娜</cp:lastModifiedBy>
  <dcterms:modified xsi:type="dcterms:W3CDTF">2023-08-01T06:44:28Z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656090882C00413CBABE0A6BC189AE34_11</vt:lpwstr>
  </property>
</Properties>
</file>