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2A" w:rsidRPr="007E56E6" w:rsidRDefault="004B2D2A" w:rsidP="004B2D2A">
      <w:pPr>
        <w:spacing w:line="640" w:lineRule="exact"/>
        <w:jc w:val="center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7E56E6">
        <w:rPr>
          <w:rFonts w:asciiTheme="majorEastAsia" w:eastAsiaTheme="majorEastAsia" w:hAnsiTheme="majorEastAsia" w:cstheme="majorEastAsia" w:hint="eastAsia"/>
          <w:b/>
          <w:bCs/>
          <w:szCs w:val="21"/>
          <w:lang w:val="zh-CN"/>
        </w:rPr>
        <w:t>投标时间</w:t>
      </w:r>
      <w:r w:rsidRPr="007E56E6">
        <w:rPr>
          <w:rFonts w:asciiTheme="majorEastAsia" w:eastAsiaTheme="majorEastAsia" w:hAnsiTheme="majorEastAsia" w:cstheme="majorEastAsia" w:hint="eastAsia"/>
          <w:b/>
          <w:bCs/>
          <w:szCs w:val="21"/>
        </w:rPr>
        <w:t>：</w:t>
      </w:r>
      <w:r>
        <w:rPr>
          <w:rFonts w:asciiTheme="majorEastAsia" w:eastAsiaTheme="majorEastAsia" w:hAnsiTheme="majorEastAsia" w:cstheme="majorEastAsia" w:hint="eastAsia"/>
          <w:b/>
          <w:bCs/>
          <w:szCs w:val="21"/>
        </w:rPr>
        <w:t>2023</w:t>
      </w:r>
      <w:r w:rsidRPr="007E56E6">
        <w:rPr>
          <w:rFonts w:asciiTheme="majorEastAsia" w:eastAsiaTheme="majorEastAsia" w:hAnsiTheme="majorEastAsia" w:cstheme="majorEastAsia" w:hint="eastAsia"/>
          <w:b/>
          <w:bCs/>
          <w:szCs w:val="21"/>
        </w:rPr>
        <w:t>年</w:t>
      </w:r>
      <w:r w:rsidR="00522CB5">
        <w:rPr>
          <w:rFonts w:asciiTheme="majorEastAsia" w:eastAsiaTheme="majorEastAsia" w:hAnsiTheme="majorEastAsia" w:cstheme="majorEastAsia" w:hint="eastAsia"/>
          <w:b/>
          <w:bCs/>
          <w:szCs w:val="21"/>
        </w:rPr>
        <w:t>4</w:t>
      </w:r>
      <w:r w:rsidRPr="007E56E6">
        <w:rPr>
          <w:rFonts w:asciiTheme="majorEastAsia" w:eastAsiaTheme="majorEastAsia" w:hAnsiTheme="majorEastAsia" w:cstheme="majorEastAsia" w:hint="eastAsia"/>
          <w:b/>
          <w:bCs/>
          <w:szCs w:val="21"/>
        </w:rPr>
        <w:t>月</w:t>
      </w:r>
      <w:r w:rsidR="00522CB5">
        <w:rPr>
          <w:rFonts w:asciiTheme="majorEastAsia" w:eastAsiaTheme="majorEastAsia" w:hAnsiTheme="majorEastAsia" w:cstheme="majorEastAsia" w:hint="eastAsia"/>
          <w:b/>
          <w:bCs/>
          <w:szCs w:val="21"/>
        </w:rPr>
        <w:t>7</w:t>
      </w:r>
      <w:r w:rsidRPr="007E56E6">
        <w:rPr>
          <w:rFonts w:asciiTheme="majorEastAsia" w:eastAsiaTheme="majorEastAsia" w:hAnsiTheme="majorEastAsia" w:cstheme="majorEastAsia" w:hint="eastAsia"/>
          <w:b/>
          <w:bCs/>
          <w:szCs w:val="21"/>
        </w:rPr>
        <w:t>日上午</w:t>
      </w:r>
      <w:r>
        <w:rPr>
          <w:rFonts w:asciiTheme="majorEastAsia" w:eastAsiaTheme="majorEastAsia" w:hAnsiTheme="majorEastAsia" w:cstheme="majorEastAsia" w:hint="eastAsia"/>
          <w:b/>
          <w:bCs/>
          <w:szCs w:val="21"/>
        </w:rPr>
        <w:t>9</w:t>
      </w:r>
      <w:r w:rsidRPr="007E56E6">
        <w:rPr>
          <w:rFonts w:asciiTheme="majorEastAsia" w:eastAsiaTheme="majorEastAsia" w:hAnsiTheme="majorEastAsia" w:cstheme="majorEastAsia" w:hint="eastAsia"/>
          <w:b/>
          <w:bCs/>
          <w:szCs w:val="21"/>
        </w:rPr>
        <w:t>:30时（北京时间）</w:t>
      </w:r>
    </w:p>
    <w:p w:rsidR="004B2D2A" w:rsidRPr="007E56E6" w:rsidRDefault="004B2D2A" w:rsidP="004B2D2A">
      <w:pPr>
        <w:spacing w:line="640" w:lineRule="exact"/>
        <w:jc w:val="center"/>
        <w:rPr>
          <w:rFonts w:asciiTheme="majorEastAsia" w:eastAsiaTheme="majorEastAsia" w:hAnsiTheme="majorEastAsia" w:cstheme="majorEastAsia"/>
          <w:b/>
          <w:bCs/>
          <w:szCs w:val="21"/>
          <w:lang w:val="zh-CN"/>
        </w:rPr>
      </w:pPr>
      <w:r w:rsidRPr="007E56E6">
        <w:rPr>
          <w:rFonts w:asciiTheme="majorEastAsia" w:eastAsiaTheme="majorEastAsia" w:hAnsiTheme="majorEastAsia" w:cstheme="majorEastAsia" w:hint="eastAsia"/>
          <w:b/>
          <w:bCs/>
          <w:szCs w:val="21"/>
          <w:lang w:val="zh-CN"/>
        </w:rPr>
        <w:t>投标地点:生态城医院后勤部会议室</w:t>
      </w:r>
    </w:p>
    <w:p w:rsidR="004B2D2A" w:rsidRDefault="004B2D2A" w:rsidP="004B2D2A">
      <w:pPr>
        <w:bidi/>
        <w:spacing w:line="360" w:lineRule="auto"/>
        <w:jc w:val="center"/>
        <w:rPr>
          <w:sz w:val="36"/>
          <w:szCs w:val="36"/>
        </w:rPr>
      </w:pPr>
    </w:p>
    <w:p w:rsidR="004B2D2A" w:rsidRDefault="00E31203" w:rsidP="004B2D2A">
      <w:pPr>
        <w:bidi/>
        <w:spacing w:line="360" w:lineRule="auto"/>
        <w:jc w:val="center"/>
        <w:rPr>
          <w:sz w:val="36"/>
          <w:szCs w:val="36"/>
        </w:rPr>
      </w:pPr>
      <w:r w:rsidRPr="00E31203">
        <w:rPr>
          <w:sz w:val="36"/>
          <w:szCs w:val="36"/>
        </w:rPr>
        <w:t>项目需求书</w:t>
      </w:r>
    </w:p>
    <w:p w:rsidR="00E31203" w:rsidRDefault="00E31203" w:rsidP="00C64421">
      <w:pPr>
        <w:spacing w:line="360" w:lineRule="auto"/>
      </w:pPr>
      <w:r>
        <w:t>一</w:t>
      </w:r>
      <w:r>
        <w:rPr>
          <w:rFonts w:hint="eastAsia"/>
        </w:rPr>
        <w:t>、</w:t>
      </w:r>
      <w:r w:rsidR="009D259D">
        <w:rPr>
          <w:rFonts w:hint="eastAsia"/>
        </w:rPr>
        <w:t>项目背景</w:t>
      </w:r>
      <w:r>
        <w:rPr>
          <w:rFonts w:hint="eastAsia"/>
        </w:rPr>
        <w:t>：</w:t>
      </w:r>
    </w:p>
    <w:p w:rsidR="006E2DD0" w:rsidRDefault="006E2DD0" w:rsidP="00C64421">
      <w:pPr>
        <w:spacing w:line="360" w:lineRule="auto"/>
        <w:ind w:firstLineChars="200" w:firstLine="420"/>
        <w:jc w:val="left"/>
      </w:pPr>
      <w:r>
        <w:t>天津医科大学中新生态城医院前广场</w:t>
      </w:r>
      <w:r w:rsidR="009D259D">
        <w:t>改造将</w:t>
      </w:r>
      <w:r w:rsidR="00483B82">
        <w:t>现有绿植</w:t>
      </w:r>
      <w:bookmarkStart w:id="0" w:name="_GoBack"/>
      <w:bookmarkEnd w:id="0"/>
      <w:r>
        <w:t>进行迁移</w:t>
      </w:r>
      <w:r>
        <w:rPr>
          <w:rFonts w:hint="eastAsia"/>
        </w:rPr>
        <w:t>。</w:t>
      </w:r>
      <w:r w:rsidR="009D259D">
        <w:t>具体工作内容详见</w:t>
      </w:r>
      <w:r>
        <w:t>服务需求清单</w:t>
      </w:r>
      <w:r>
        <w:rPr>
          <w:rFonts w:hint="eastAsia"/>
        </w:rPr>
        <w:t>。</w:t>
      </w:r>
    </w:p>
    <w:p w:rsidR="006E2DD0" w:rsidRDefault="006E2DD0" w:rsidP="00C64421">
      <w:pPr>
        <w:spacing w:line="360" w:lineRule="auto"/>
      </w:pPr>
      <w:r>
        <w:t>服务地点</w:t>
      </w:r>
      <w:r>
        <w:rPr>
          <w:rFonts w:hint="eastAsia"/>
        </w:rPr>
        <w:t>：</w:t>
      </w:r>
      <w:r>
        <w:t>天津中新生态城</w:t>
      </w:r>
      <w:r w:rsidR="003E5CE4">
        <w:t>医院</w:t>
      </w:r>
      <w:r>
        <w:rPr>
          <w:rFonts w:hint="eastAsia"/>
        </w:rPr>
        <w:t>。</w:t>
      </w:r>
    </w:p>
    <w:p w:rsidR="00C64421" w:rsidRDefault="00C64421" w:rsidP="00C64421">
      <w:pPr>
        <w:spacing w:line="360" w:lineRule="auto"/>
      </w:pPr>
      <w:r>
        <w:t>二</w:t>
      </w:r>
      <w:r>
        <w:rPr>
          <w:rFonts w:hint="eastAsia"/>
        </w:rPr>
        <w:t>、</w:t>
      </w:r>
      <w:r>
        <w:t>服务要求说明</w:t>
      </w:r>
      <w:r>
        <w:rPr>
          <w:rFonts w:hint="eastAsia"/>
        </w:rPr>
        <w:t>：</w:t>
      </w:r>
    </w:p>
    <w:p w:rsidR="00AA0408" w:rsidRDefault="00C64421" w:rsidP="00AA0408">
      <w:pPr>
        <w:spacing w:line="360" w:lineRule="auto"/>
        <w:ind w:firstLineChars="100" w:firstLine="210"/>
      </w:pPr>
      <w:r w:rsidRPr="00C64421">
        <w:t>1.</w:t>
      </w:r>
      <w:r w:rsidRPr="00C64421">
        <w:rPr>
          <w:rFonts w:hint="eastAsia"/>
        </w:rPr>
        <w:t>起苗移植前</w:t>
      </w:r>
      <w:r w:rsidRPr="00C64421">
        <w:t>2</w:t>
      </w:r>
      <w:r w:rsidRPr="00C64421">
        <w:rPr>
          <w:rFonts w:hint="eastAsia"/>
        </w:rPr>
        <w:t>至</w:t>
      </w:r>
      <w:r w:rsidRPr="00C64421">
        <w:t>3</w:t>
      </w:r>
      <w:r w:rsidRPr="00C64421">
        <w:rPr>
          <w:rFonts w:hint="eastAsia"/>
        </w:rPr>
        <w:t>天，根据土壤干湿情况，适当进行浇水，以防挖掘后土壤过干而使土球松散，苗木挖掘时，土球为苗木胸径的</w:t>
      </w:r>
      <w:r w:rsidRPr="00C64421">
        <w:t>8-10</w:t>
      </w:r>
      <w:r w:rsidRPr="00C64421">
        <w:rPr>
          <w:rFonts w:hint="eastAsia"/>
        </w:rPr>
        <w:t>倍，土球厚度不小于土球直径的</w:t>
      </w:r>
      <w:r w:rsidRPr="00C64421">
        <w:t>2/3</w:t>
      </w:r>
      <w:r w:rsidRPr="00C64421">
        <w:rPr>
          <w:rFonts w:hint="eastAsia"/>
        </w:rPr>
        <w:t>，土球要用草绳包扎，做到土球根部不松不散。用草绳包裹树干（绕</w:t>
      </w:r>
      <w:proofErr w:type="gramStart"/>
      <w:r w:rsidRPr="00C64421">
        <w:rPr>
          <w:rFonts w:hint="eastAsia"/>
        </w:rPr>
        <w:t>干高度</w:t>
      </w:r>
      <w:proofErr w:type="gramEnd"/>
      <w:r w:rsidRPr="00C64421">
        <w:rPr>
          <w:rFonts w:hint="eastAsia"/>
        </w:rPr>
        <w:t>在</w:t>
      </w:r>
      <w:r w:rsidRPr="00C64421">
        <w:t>1</w:t>
      </w:r>
      <w:r w:rsidRPr="00C64421">
        <w:rPr>
          <w:rFonts w:hint="eastAsia"/>
        </w:rPr>
        <w:t>至</w:t>
      </w:r>
      <w:r w:rsidRPr="00C64421">
        <w:t>2</w:t>
      </w:r>
      <w:r w:rsidRPr="00C64421">
        <w:rPr>
          <w:rFonts w:hint="eastAsia"/>
        </w:rPr>
        <w:t>米），经包裹处理后，避免强光直射和干风吹袭，减少树干、枝的水分蒸发，同时可储存一定水分使树干保持湿润，还可调节树干温度，减少高温、低温对树干的伤害，减少在运输过程中对树干的损伤。</w:t>
      </w:r>
      <w:r w:rsidRPr="00C64421">
        <w:t> </w:t>
      </w:r>
    </w:p>
    <w:p w:rsidR="00AA0408" w:rsidRDefault="00C64421" w:rsidP="00AA0408">
      <w:pPr>
        <w:spacing w:line="360" w:lineRule="auto"/>
        <w:ind w:firstLineChars="100" w:firstLine="210"/>
      </w:pPr>
      <w:r w:rsidRPr="00C64421">
        <w:t>2.</w:t>
      </w:r>
      <w:r w:rsidRPr="00C64421">
        <w:rPr>
          <w:rFonts w:hint="eastAsia"/>
        </w:rPr>
        <w:t>运输苗木运输时，上下车应轻抬、轻放，防止土球碰裂，影响成活，苗木接触车厢处应用</w:t>
      </w:r>
      <w:proofErr w:type="gramStart"/>
      <w:r w:rsidRPr="00C64421">
        <w:rPr>
          <w:rFonts w:hint="eastAsia"/>
        </w:rPr>
        <w:t>软物质垫</w:t>
      </w:r>
      <w:proofErr w:type="gramEnd"/>
      <w:r w:rsidRPr="00C64421">
        <w:rPr>
          <w:rFonts w:hint="eastAsia"/>
        </w:rPr>
        <w:t>一层，以免树皮破皮，影响成活及美观，每车次运输苗木数量要根据苗木及土球大小，在保证</w:t>
      </w:r>
      <w:proofErr w:type="gramStart"/>
      <w:r w:rsidRPr="00C64421">
        <w:rPr>
          <w:rFonts w:hint="eastAsia"/>
        </w:rPr>
        <w:t>不</w:t>
      </w:r>
      <w:proofErr w:type="gramEnd"/>
      <w:r w:rsidRPr="00C64421">
        <w:rPr>
          <w:rFonts w:hint="eastAsia"/>
        </w:rPr>
        <w:t>挤压的情况下，</w:t>
      </w:r>
      <w:proofErr w:type="gramStart"/>
      <w:r w:rsidRPr="00C64421">
        <w:rPr>
          <w:rFonts w:hint="eastAsia"/>
        </w:rPr>
        <w:t>装苗运输</w:t>
      </w:r>
      <w:proofErr w:type="gramEnd"/>
      <w:r w:rsidRPr="00C64421">
        <w:rPr>
          <w:rFonts w:hint="eastAsia"/>
        </w:rPr>
        <w:t>。车辆运输污染的道路应及时清理干净。卸车时顺序进行，按品种规格堆码整齐，及时种植，缩短根部暴露时间，使用机械卸苗，吊装平稳，吊带</w:t>
      </w:r>
      <w:proofErr w:type="gramStart"/>
      <w:r w:rsidRPr="00C64421">
        <w:rPr>
          <w:rFonts w:hint="eastAsia"/>
        </w:rPr>
        <w:t>栓</w:t>
      </w:r>
      <w:proofErr w:type="gramEnd"/>
      <w:r w:rsidRPr="00C64421">
        <w:rPr>
          <w:rFonts w:hint="eastAsia"/>
        </w:rPr>
        <w:t>牢固</w:t>
      </w:r>
      <w:r w:rsidRPr="00C64421">
        <w:t> </w:t>
      </w:r>
      <w:r w:rsidR="00AA0408">
        <w:rPr>
          <w:rFonts w:hint="eastAsia"/>
        </w:rPr>
        <w:t>。</w:t>
      </w:r>
    </w:p>
    <w:p w:rsidR="00AA0408" w:rsidRDefault="00C64421" w:rsidP="00AA0408">
      <w:pPr>
        <w:spacing w:line="360" w:lineRule="auto"/>
        <w:ind w:firstLineChars="100" w:firstLine="210"/>
      </w:pPr>
      <w:r w:rsidRPr="00C64421">
        <w:t>3.</w:t>
      </w:r>
      <w:r w:rsidRPr="00C64421">
        <w:rPr>
          <w:rFonts w:hint="eastAsia"/>
        </w:rPr>
        <w:t>栽植挖掘种植穴、槽的位置应根据苗木的</w:t>
      </w:r>
      <w:proofErr w:type="gramStart"/>
      <w:r w:rsidRPr="00C64421">
        <w:rPr>
          <w:rFonts w:hint="eastAsia"/>
        </w:rPr>
        <w:t>冠径大小</w:t>
      </w:r>
      <w:proofErr w:type="gramEnd"/>
      <w:r w:rsidRPr="00C64421">
        <w:rPr>
          <w:rFonts w:hint="eastAsia"/>
        </w:rPr>
        <w:t>保持适当距离，苗木根系不应种植过深。</w:t>
      </w:r>
      <w:proofErr w:type="gramStart"/>
      <w:r w:rsidRPr="00C64421">
        <w:rPr>
          <w:rFonts w:hint="eastAsia"/>
        </w:rPr>
        <w:t>踏实穴地松土</w:t>
      </w:r>
      <w:proofErr w:type="gramEnd"/>
      <w:r w:rsidRPr="00C64421">
        <w:rPr>
          <w:rFonts w:hint="eastAsia"/>
        </w:rPr>
        <w:t>，土球放稳，树干直立，拆除不易腐烂包装物，向穴内填土至合适高度并踏实。种植的树木应直立，不得倾斜，加支撑立柱。</w:t>
      </w:r>
      <w:r w:rsidRPr="00C64421">
        <w:t xml:space="preserve">  </w:t>
      </w:r>
      <w:r w:rsidRPr="00C64421">
        <w:rPr>
          <w:rFonts w:hint="eastAsia"/>
        </w:rPr>
        <w:t>树木种植根系必须舒展，填土分层踏实，苗木支撑固定、乔木设支撑物固定，支撑物应牢固，绳索不得损伤树干，种植</w:t>
      </w:r>
      <w:proofErr w:type="gramStart"/>
      <w:r w:rsidRPr="00C64421">
        <w:rPr>
          <w:rFonts w:hint="eastAsia"/>
        </w:rPr>
        <w:t>后在略大于</w:t>
      </w:r>
      <w:proofErr w:type="gramEnd"/>
      <w:r w:rsidRPr="00C64421">
        <w:rPr>
          <w:rFonts w:hint="eastAsia"/>
        </w:rPr>
        <w:t>种植</w:t>
      </w:r>
      <w:proofErr w:type="gramStart"/>
      <w:r w:rsidRPr="00C64421">
        <w:rPr>
          <w:rFonts w:hint="eastAsia"/>
        </w:rPr>
        <w:t>穴</w:t>
      </w:r>
      <w:proofErr w:type="gramEnd"/>
      <w:r w:rsidRPr="00C64421">
        <w:rPr>
          <w:rFonts w:hint="eastAsia"/>
        </w:rPr>
        <w:t>直径的周围，筑成高度</w:t>
      </w:r>
      <w:r w:rsidRPr="00C64421">
        <w:t>15CM</w:t>
      </w:r>
      <w:r w:rsidRPr="00C64421">
        <w:rPr>
          <w:rFonts w:hint="eastAsia"/>
        </w:rPr>
        <w:t>至</w:t>
      </w:r>
      <w:r w:rsidRPr="00C64421">
        <w:t>20CM</w:t>
      </w:r>
      <w:r w:rsidRPr="00C64421">
        <w:rPr>
          <w:rFonts w:hint="eastAsia"/>
        </w:rPr>
        <w:t>的灌水围堰，</w:t>
      </w:r>
      <w:proofErr w:type="gramStart"/>
      <w:r w:rsidRPr="00C64421">
        <w:rPr>
          <w:rFonts w:hint="eastAsia"/>
        </w:rPr>
        <w:t>要求堰不漏水</w:t>
      </w:r>
      <w:proofErr w:type="gramEnd"/>
      <w:r w:rsidRPr="00C64421">
        <w:rPr>
          <w:rFonts w:hint="eastAsia"/>
        </w:rPr>
        <w:t>，新</w:t>
      </w:r>
      <w:proofErr w:type="gramStart"/>
      <w:r w:rsidRPr="00C64421">
        <w:rPr>
          <w:rFonts w:hint="eastAsia"/>
        </w:rPr>
        <w:t>植苗木要浇筑</w:t>
      </w:r>
      <w:proofErr w:type="gramEnd"/>
      <w:r w:rsidRPr="00C64421">
        <w:rPr>
          <w:rFonts w:hint="eastAsia"/>
        </w:rPr>
        <w:t>第</w:t>
      </w:r>
      <w:r w:rsidRPr="00C64421">
        <w:t>1</w:t>
      </w:r>
      <w:r w:rsidRPr="00C64421">
        <w:rPr>
          <w:rFonts w:hint="eastAsia"/>
        </w:rPr>
        <w:t>遍透水，根据天气情况浇筑第</w:t>
      </w:r>
      <w:r w:rsidRPr="00C64421">
        <w:t>2</w:t>
      </w:r>
      <w:r w:rsidRPr="00C64421">
        <w:rPr>
          <w:rFonts w:hint="eastAsia"/>
        </w:rPr>
        <w:t>、</w:t>
      </w:r>
      <w:r w:rsidRPr="00C64421">
        <w:t>3</w:t>
      </w:r>
      <w:r w:rsidRPr="00C64421">
        <w:rPr>
          <w:rFonts w:hint="eastAsia"/>
        </w:rPr>
        <w:t>遍水，浇水渗下后，及时围堰土封住树穴，再筑堰时，不得损伤根系，浇水时防止水流过急冲刷裸露根系，或冲毁围堰，浇水后出现土壤塌陷，致使树木倾斜时，及时护正、培土。</w:t>
      </w:r>
    </w:p>
    <w:p w:rsidR="00AA0408" w:rsidRDefault="00C64421" w:rsidP="00AA0408">
      <w:pPr>
        <w:spacing w:line="360" w:lineRule="auto"/>
        <w:ind w:firstLineChars="100" w:firstLine="210"/>
      </w:pPr>
      <w:r w:rsidRPr="00C64421">
        <w:lastRenderedPageBreak/>
        <w:t> 4.</w:t>
      </w:r>
      <w:r w:rsidRPr="00C64421">
        <w:rPr>
          <w:rFonts w:hint="eastAsia"/>
        </w:rPr>
        <w:t>养护、管理（</w:t>
      </w:r>
      <w:r w:rsidRPr="00C64421">
        <w:t>1</w:t>
      </w:r>
      <w:r w:rsidRPr="00C64421">
        <w:rPr>
          <w:rFonts w:hint="eastAsia"/>
        </w:rPr>
        <w:t>）刚栽植的苗木容易歪倒，用结实的木杆搭在树干上，把苗木有效的支撑起来，确保大树不会歪倒。（</w:t>
      </w:r>
      <w:r w:rsidRPr="00C64421">
        <w:t>2</w:t>
      </w:r>
      <w:r w:rsidRPr="00C64421">
        <w:rPr>
          <w:rFonts w:hint="eastAsia"/>
        </w:rPr>
        <w:t>）在养护期间，派人专人进行浇水，发现土壤水分不足，及时浇灌，浇灌原则；不干不浇、浇则浇透。（</w:t>
      </w:r>
      <w:r w:rsidRPr="00C64421">
        <w:rPr>
          <w:rFonts w:hint="eastAsia"/>
        </w:rPr>
        <w:t>3</w:t>
      </w:r>
      <w:r w:rsidRPr="00C64421">
        <w:rPr>
          <w:rFonts w:hint="eastAsia"/>
        </w:rPr>
        <w:t>）每早晚喷一次水与树干上，保持草绳湿润。（</w:t>
      </w:r>
      <w:r w:rsidRPr="00C64421">
        <w:rPr>
          <w:rFonts w:hint="eastAsia"/>
        </w:rPr>
        <w:t>4</w:t>
      </w:r>
      <w:r w:rsidRPr="00C64421">
        <w:rPr>
          <w:rFonts w:hint="eastAsia"/>
        </w:rPr>
        <w:t>）树木周围下雨后积水及时排除。（</w:t>
      </w:r>
      <w:r w:rsidRPr="00C64421">
        <w:rPr>
          <w:rFonts w:hint="eastAsia"/>
        </w:rPr>
        <w:t>5</w:t>
      </w:r>
      <w:r w:rsidRPr="00C64421">
        <w:rPr>
          <w:rFonts w:hint="eastAsia"/>
        </w:rPr>
        <w:t>）为保持土壤的良好透气性，有利于根系的萌发，做好中耕松土，防止土壤板结。易受冻害的树木，冬季应</w:t>
      </w:r>
      <w:proofErr w:type="gramStart"/>
      <w:r w:rsidRPr="00C64421">
        <w:rPr>
          <w:rFonts w:hint="eastAsia"/>
        </w:rPr>
        <w:t>采取根防培土</w:t>
      </w:r>
      <w:proofErr w:type="gramEnd"/>
      <w:r w:rsidRPr="00C64421">
        <w:rPr>
          <w:rFonts w:hint="eastAsia"/>
        </w:rPr>
        <w:t>，主干包扎措施。移栽后病虫防治以防为主。</w:t>
      </w:r>
      <w:r w:rsidRPr="00C64421">
        <w:rPr>
          <w:rFonts w:hint="eastAsia"/>
        </w:rPr>
        <w:t xml:space="preserve"> </w:t>
      </w:r>
    </w:p>
    <w:p w:rsidR="00AA0408" w:rsidRDefault="00C64421" w:rsidP="00AA0408">
      <w:pPr>
        <w:spacing w:line="360" w:lineRule="auto"/>
        <w:ind w:firstLineChars="100" w:firstLine="210"/>
      </w:pPr>
      <w:r w:rsidRPr="00C64421">
        <w:rPr>
          <w:rFonts w:hint="eastAsia"/>
        </w:rPr>
        <w:t>5.</w:t>
      </w:r>
      <w:r w:rsidRPr="00C64421">
        <w:rPr>
          <w:rFonts w:hint="eastAsia"/>
        </w:rPr>
        <w:t>绿地恢复时重复以上措施，并达到景观效果。</w:t>
      </w:r>
    </w:p>
    <w:p w:rsidR="00AA0408" w:rsidRDefault="00C64421" w:rsidP="00AA0408">
      <w:pPr>
        <w:spacing w:line="360" w:lineRule="auto"/>
        <w:ind w:firstLineChars="100" w:firstLine="210"/>
      </w:pPr>
      <w:r w:rsidRPr="00C64421">
        <w:rPr>
          <w:rFonts w:hint="eastAsia"/>
        </w:rPr>
        <w:t>6.</w:t>
      </w:r>
      <w:r w:rsidRPr="00C64421">
        <w:rPr>
          <w:rFonts w:hint="eastAsia"/>
        </w:rPr>
        <w:t>在整个迁移及恢复过程中，严格按照安全操作规范实施，工人戴好安全帽，修剪系好安全带。做好使用机械保养，保证其完好性。在运输过程中如超高，使用引道</w:t>
      </w:r>
      <w:proofErr w:type="gramStart"/>
      <w:r w:rsidRPr="00C64421">
        <w:rPr>
          <w:rFonts w:hint="eastAsia"/>
        </w:rPr>
        <w:t>车保证</w:t>
      </w:r>
      <w:proofErr w:type="gramEnd"/>
      <w:r w:rsidRPr="00C64421">
        <w:rPr>
          <w:rFonts w:hint="eastAsia"/>
        </w:rPr>
        <w:t>安全运输</w:t>
      </w:r>
      <w:r w:rsidRPr="00C64421">
        <w:rPr>
          <w:rFonts w:hint="eastAsia"/>
        </w:rPr>
        <w:t xml:space="preserve"> </w:t>
      </w:r>
      <w:r w:rsidRPr="00C64421">
        <w:rPr>
          <w:rFonts w:hint="eastAsia"/>
        </w:rPr>
        <w:t>。</w:t>
      </w:r>
    </w:p>
    <w:p w:rsidR="00BE582C" w:rsidRDefault="00AA0408" w:rsidP="00AA0408">
      <w:pPr>
        <w:spacing w:line="360" w:lineRule="auto"/>
      </w:pPr>
      <w:r>
        <w:t>三</w:t>
      </w:r>
      <w:r>
        <w:rPr>
          <w:rFonts w:hint="eastAsia"/>
        </w:rPr>
        <w:t>、</w:t>
      </w:r>
      <w:r>
        <w:t>服务需求清单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9"/>
        <w:gridCol w:w="890"/>
        <w:gridCol w:w="890"/>
        <w:gridCol w:w="2188"/>
        <w:gridCol w:w="890"/>
        <w:gridCol w:w="960"/>
        <w:gridCol w:w="1505"/>
      </w:tblGrid>
      <w:tr w:rsidR="00AA0408" w:rsidRPr="00AA0408" w:rsidTr="00AA0408">
        <w:trPr>
          <w:trHeight w:val="870"/>
        </w:trPr>
        <w:tc>
          <w:tcPr>
            <w:tcW w:w="178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项目名称</w:t>
            </w:r>
          </w:p>
        </w:tc>
        <w:tc>
          <w:tcPr>
            <w:tcW w:w="10400" w:type="dxa"/>
            <w:gridSpan w:val="6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天津医科大学中新生态城医院正门广场改造</w:t>
            </w:r>
            <w:r w:rsidR="009D259D">
              <w:rPr>
                <w:rFonts w:hint="eastAsia"/>
              </w:rPr>
              <w:t>苗木迁移</w:t>
            </w:r>
          </w:p>
        </w:tc>
      </w:tr>
      <w:tr w:rsidR="00AA0408" w:rsidRPr="00AA0408" w:rsidTr="00AA0408">
        <w:trPr>
          <w:trHeight w:val="870"/>
        </w:trPr>
        <w:tc>
          <w:tcPr>
            <w:tcW w:w="178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占用绿化面积</w:t>
            </w:r>
          </w:p>
        </w:tc>
        <w:tc>
          <w:tcPr>
            <w:tcW w:w="10400" w:type="dxa"/>
            <w:gridSpan w:val="6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160m</w:t>
            </w:r>
            <w:r w:rsidRPr="00AA0408">
              <w:rPr>
                <w:rFonts w:hint="eastAsia"/>
                <w:vertAlign w:val="superscript"/>
              </w:rPr>
              <w:t>2</w:t>
            </w:r>
          </w:p>
        </w:tc>
      </w:tr>
      <w:tr w:rsidR="00AA0408" w:rsidRPr="00AA0408" w:rsidTr="00AA0408">
        <w:trPr>
          <w:trHeight w:val="619"/>
        </w:trPr>
        <w:tc>
          <w:tcPr>
            <w:tcW w:w="178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序号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种类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名称</w:t>
            </w:r>
          </w:p>
        </w:tc>
        <w:tc>
          <w:tcPr>
            <w:tcW w:w="312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规格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单位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数量</w:t>
            </w:r>
          </w:p>
        </w:tc>
        <w:tc>
          <w:tcPr>
            <w:tcW w:w="232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迁入地点</w:t>
            </w:r>
          </w:p>
        </w:tc>
      </w:tr>
      <w:tr w:rsidR="00AA0408" w:rsidRPr="00AA0408" w:rsidTr="00AA0408">
        <w:trPr>
          <w:trHeight w:val="529"/>
        </w:trPr>
        <w:tc>
          <w:tcPr>
            <w:tcW w:w="178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1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乔木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白蜡</w:t>
            </w:r>
          </w:p>
        </w:tc>
        <w:tc>
          <w:tcPr>
            <w:tcW w:w="312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 xml:space="preserve">H:7.5m </w:t>
            </w:r>
            <w:r w:rsidRPr="00AA0408">
              <w:rPr>
                <w:rFonts w:hint="eastAsia"/>
              </w:rPr>
              <w:t>Φ</w:t>
            </w:r>
            <w:r w:rsidRPr="00AA0408">
              <w:rPr>
                <w:rFonts w:hint="eastAsia"/>
              </w:rPr>
              <w:t>:19cm P:2m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株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1</w:t>
            </w:r>
          </w:p>
        </w:tc>
        <w:tc>
          <w:tcPr>
            <w:tcW w:w="232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院内后花园</w:t>
            </w:r>
          </w:p>
        </w:tc>
      </w:tr>
      <w:tr w:rsidR="00AA0408" w:rsidRPr="00AA0408" w:rsidTr="00AA0408">
        <w:trPr>
          <w:trHeight w:val="529"/>
        </w:trPr>
        <w:tc>
          <w:tcPr>
            <w:tcW w:w="178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2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乔木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白皮松</w:t>
            </w:r>
          </w:p>
        </w:tc>
        <w:tc>
          <w:tcPr>
            <w:tcW w:w="312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H:3.7m D:15cm P:1m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株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2</w:t>
            </w:r>
          </w:p>
        </w:tc>
        <w:tc>
          <w:tcPr>
            <w:tcW w:w="232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院内后花园</w:t>
            </w:r>
          </w:p>
        </w:tc>
      </w:tr>
      <w:tr w:rsidR="00AA0408" w:rsidRPr="00AA0408" w:rsidTr="00AA0408">
        <w:trPr>
          <w:trHeight w:val="529"/>
        </w:trPr>
        <w:tc>
          <w:tcPr>
            <w:tcW w:w="178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3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乔木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白玉兰</w:t>
            </w:r>
          </w:p>
        </w:tc>
        <w:tc>
          <w:tcPr>
            <w:tcW w:w="312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 xml:space="preserve">H:3.5m </w:t>
            </w:r>
            <w:r w:rsidRPr="00AA0408">
              <w:rPr>
                <w:rFonts w:hint="eastAsia"/>
              </w:rPr>
              <w:t>Φ</w:t>
            </w:r>
            <w:r w:rsidRPr="00AA0408">
              <w:rPr>
                <w:rFonts w:hint="eastAsia"/>
              </w:rPr>
              <w:t>:12cm P:1.5m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株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2</w:t>
            </w:r>
          </w:p>
        </w:tc>
        <w:tc>
          <w:tcPr>
            <w:tcW w:w="232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院内后花园</w:t>
            </w:r>
          </w:p>
        </w:tc>
      </w:tr>
      <w:tr w:rsidR="00AA0408" w:rsidRPr="00AA0408" w:rsidTr="00AA0408">
        <w:trPr>
          <w:trHeight w:val="529"/>
        </w:trPr>
        <w:tc>
          <w:tcPr>
            <w:tcW w:w="178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4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乔木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美国红</w:t>
            </w:r>
            <w:proofErr w:type="gramStart"/>
            <w:r w:rsidRPr="00AA0408">
              <w:rPr>
                <w:rFonts w:hint="eastAsia"/>
              </w:rPr>
              <w:t>栌</w:t>
            </w:r>
            <w:proofErr w:type="gramEnd"/>
          </w:p>
        </w:tc>
        <w:tc>
          <w:tcPr>
            <w:tcW w:w="312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H:2.5m D:10cm P:2m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株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1</w:t>
            </w:r>
          </w:p>
        </w:tc>
        <w:tc>
          <w:tcPr>
            <w:tcW w:w="232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院内后花园</w:t>
            </w:r>
          </w:p>
        </w:tc>
      </w:tr>
      <w:tr w:rsidR="00AA0408" w:rsidRPr="00AA0408" w:rsidTr="00AA0408">
        <w:trPr>
          <w:trHeight w:val="529"/>
        </w:trPr>
        <w:tc>
          <w:tcPr>
            <w:tcW w:w="178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5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乔木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梨花海棠</w:t>
            </w:r>
          </w:p>
        </w:tc>
        <w:tc>
          <w:tcPr>
            <w:tcW w:w="312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H:3m D:15cm P:1.5m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株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9</w:t>
            </w:r>
          </w:p>
        </w:tc>
        <w:tc>
          <w:tcPr>
            <w:tcW w:w="232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院内后花园</w:t>
            </w:r>
          </w:p>
        </w:tc>
      </w:tr>
      <w:tr w:rsidR="00AA0408" w:rsidRPr="00AA0408" w:rsidTr="00AA0408">
        <w:trPr>
          <w:trHeight w:val="529"/>
        </w:trPr>
        <w:tc>
          <w:tcPr>
            <w:tcW w:w="178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6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灌木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木槿</w:t>
            </w:r>
          </w:p>
        </w:tc>
        <w:tc>
          <w:tcPr>
            <w:tcW w:w="312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H:2m P:1.5m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株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6</w:t>
            </w:r>
          </w:p>
        </w:tc>
        <w:tc>
          <w:tcPr>
            <w:tcW w:w="232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院内后花园</w:t>
            </w:r>
          </w:p>
        </w:tc>
      </w:tr>
      <w:tr w:rsidR="00AA0408" w:rsidRPr="00AA0408" w:rsidTr="00AA0408">
        <w:trPr>
          <w:trHeight w:val="529"/>
        </w:trPr>
        <w:tc>
          <w:tcPr>
            <w:tcW w:w="178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7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灌木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丝兰</w:t>
            </w:r>
          </w:p>
        </w:tc>
        <w:tc>
          <w:tcPr>
            <w:tcW w:w="312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H:0.5m  P:0.8m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株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11</w:t>
            </w:r>
          </w:p>
        </w:tc>
        <w:tc>
          <w:tcPr>
            <w:tcW w:w="232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院内后花园</w:t>
            </w:r>
          </w:p>
        </w:tc>
      </w:tr>
      <w:tr w:rsidR="00AA0408" w:rsidRPr="00AA0408" w:rsidTr="00AA0408">
        <w:trPr>
          <w:trHeight w:val="529"/>
        </w:trPr>
        <w:tc>
          <w:tcPr>
            <w:tcW w:w="178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8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灌木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紫枝玫瑰</w:t>
            </w:r>
          </w:p>
        </w:tc>
        <w:tc>
          <w:tcPr>
            <w:tcW w:w="312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H:1m  P:1m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㎡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25</w:t>
            </w:r>
          </w:p>
        </w:tc>
        <w:tc>
          <w:tcPr>
            <w:tcW w:w="232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院内后花园</w:t>
            </w:r>
          </w:p>
        </w:tc>
      </w:tr>
      <w:tr w:rsidR="00AA0408" w:rsidRPr="00AA0408" w:rsidTr="00AA0408">
        <w:trPr>
          <w:trHeight w:val="529"/>
        </w:trPr>
        <w:tc>
          <w:tcPr>
            <w:tcW w:w="178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9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地被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地被菊</w:t>
            </w:r>
          </w:p>
        </w:tc>
        <w:tc>
          <w:tcPr>
            <w:tcW w:w="312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H:0.3m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㎡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31.5</w:t>
            </w:r>
          </w:p>
        </w:tc>
        <w:tc>
          <w:tcPr>
            <w:tcW w:w="232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院内后花园</w:t>
            </w:r>
          </w:p>
        </w:tc>
      </w:tr>
      <w:tr w:rsidR="00AA0408" w:rsidRPr="00AA0408" w:rsidTr="00AA0408">
        <w:trPr>
          <w:trHeight w:val="529"/>
        </w:trPr>
        <w:tc>
          <w:tcPr>
            <w:tcW w:w="178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lastRenderedPageBreak/>
              <w:t>10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地被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马蘭</w:t>
            </w:r>
          </w:p>
        </w:tc>
        <w:tc>
          <w:tcPr>
            <w:tcW w:w="312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H:0.4m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㎡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22</w:t>
            </w:r>
          </w:p>
        </w:tc>
        <w:tc>
          <w:tcPr>
            <w:tcW w:w="232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院内后花园</w:t>
            </w:r>
          </w:p>
        </w:tc>
      </w:tr>
      <w:tr w:rsidR="00AA0408" w:rsidRPr="00AA0408" w:rsidTr="00AA0408">
        <w:trPr>
          <w:trHeight w:val="529"/>
        </w:trPr>
        <w:tc>
          <w:tcPr>
            <w:tcW w:w="178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11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地被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草坪</w:t>
            </w:r>
          </w:p>
        </w:tc>
        <w:tc>
          <w:tcPr>
            <w:tcW w:w="312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/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㎡</w:t>
            </w:r>
          </w:p>
        </w:tc>
        <w:tc>
          <w:tcPr>
            <w:tcW w:w="124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70</w:t>
            </w:r>
          </w:p>
        </w:tc>
        <w:tc>
          <w:tcPr>
            <w:tcW w:w="2320" w:type="dxa"/>
            <w:hideMark/>
          </w:tcPr>
          <w:p w:rsidR="00AA0408" w:rsidRPr="00AA0408" w:rsidRDefault="00AA0408" w:rsidP="00AA0408">
            <w:pPr>
              <w:spacing w:line="360" w:lineRule="auto"/>
            </w:pPr>
            <w:r w:rsidRPr="00AA0408">
              <w:rPr>
                <w:rFonts w:hint="eastAsia"/>
              </w:rPr>
              <w:t>院内后花园</w:t>
            </w:r>
          </w:p>
        </w:tc>
      </w:tr>
    </w:tbl>
    <w:p w:rsidR="0045676F" w:rsidRDefault="0045676F" w:rsidP="00AA0408">
      <w:pPr>
        <w:spacing w:line="360" w:lineRule="auto"/>
      </w:pPr>
    </w:p>
    <w:p w:rsidR="003E5CE4" w:rsidRDefault="003E5CE4" w:rsidP="0045676F">
      <w:pPr>
        <w:spacing w:line="360" w:lineRule="auto"/>
      </w:pPr>
    </w:p>
    <w:p w:rsidR="0045676F" w:rsidRPr="0045676F" w:rsidRDefault="0045676F" w:rsidP="0045676F">
      <w:pPr>
        <w:spacing w:line="360" w:lineRule="auto"/>
      </w:pPr>
      <w:r>
        <w:rPr>
          <w:rFonts w:hint="eastAsia"/>
        </w:rPr>
        <w:t>四、评分因素及评审标准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1522"/>
        <w:gridCol w:w="5439"/>
        <w:gridCol w:w="937"/>
        <w:gridCol w:w="12"/>
      </w:tblGrid>
      <w:tr w:rsidR="0045676F" w:rsidTr="00B34636">
        <w:trPr>
          <w:gridAfter w:val="1"/>
          <w:wAfter w:w="7" w:type="pct"/>
          <w:trHeight w:val="646"/>
          <w:jc w:val="center"/>
        </w:trPr>
        <w:tc>
          <w:tcPr>
            <w:tcW w:w="4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Default="0045676F">
            <w:pPr>
              <w:jc w:val="center"/>
            </w:pPr>
            <w:r>
              <w:rPr>
                <w:rFonts w:hint="eastAsia"/>
                <w:sz w:val="22"/>
              </w:rPr>
              <w:t>第一部分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报价（</w:t>
            </w:r>
            <w:r>
              <w:rPr>
                <w:rFonts w:ascii="宋体" w:hAnsi="宋体"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分）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Default="0045676F">
            <w:r>
              <w:rPr>
                <w:rFonts w:hint="eastAsia"/>
              </w:rPr>
              <w:t>分值</w:t>
            </w:r>
          </w:p>
        </w:tc>
      </w:tr>
      <w:tr w:rsidR="0045676F" w:rsidTr="00B34636">
        <w:trPr>
          <w:gridAfter w:val="1"/>
          <w:wAfter w:w="7" w:type="pct"/>
          <w:trHeight w:val="78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Default="0045676F">
            <w: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Default="0045676F">
            <w:r>
              <w:rPr>
                <w:rFonts w:hint="eastAsia"/>
              </w:rPr>
              <w:t>报价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Default="0045676F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磋商报价超过采购预算的，磋商无效，未超过采购预算的磋商报价按以下公式进行计算。</w:t>
            </w:r>
          </w:p>
          <w:p w:rsidR="0045676F" w:rsidRDefault="0045676F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磋商报价得分=（评标基准价/供应商磋商报价）×20</w:t>
            </w:r>
          </w:p>
          <w:p w:rsidR="0045676F" w:rsidRDefault="0045676F"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注：满足磋商文件要求且最终磋商报价最低的报价为评标基准价。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Default="0045676F">
            <w:r>
              <w:t>20</w:t>
            </w:r>
            <w:r>
              <w:rPr>
                <w:rFonts w:hint="eastAsia"/>
              </w:rPr>
              <w:t>分</w:t>
            </w:r>
          </w:p>
        </w:tc>
      </w:tr>
      <w:tr w:rsidR="0045676F" w:rsidTr="00B34636">
        <w:trPr>
          <w:gridAfter w:val="1"/>
          <w:wAfter w:w="7" w:type="pct"/>
          <w:trHeight w:val="543"/>
          <w:jc w:val="center"/>
        </w:trPr>
        <w:tc>
          <w:tcPr>
            <w:tcW w:w="4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Default="0045676F">
            <w:pPr>
              <w:jc w:val="center"/>
            </w:pPr>
            <w:r>
              <w:rPr>
                <w:rFonts w:ascii="宋体" w:hAnsi="宋体" w:cs="宋体" w:hint="eastAsia"/>
              </w:rPr>
              <w:t>第二部分</w:t>
            </w:r>
            <w:r>
              <w:t xml:space="preserve"> </w:t>
            </w:r>
            <w:r>
              <w:rPr>
                <w:rFonts w:ascii="宋体" w:hAnsi="宋体" w:cs="宋体" w:hint="eastAsia"/>
              </w:rPr>
              <w:t>履约能力（</w:t>
            </w:r>
            <w:r w:rsidR="00BE679A">
              <w:rPr>
                <w:rFonts w:ascii="宋体" w:hAnsi="宋体" w:hint="eastAsia"/>
              </w:rPr>
              <w:t>10</w:t>
            </w:r>
            <w:r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Default="0045676F">
            <w:r>
              <w:rPr>
                <w:rFonts w:hint="eastAsia"/>
              </w:rPr>
              <w:t>分值</w:t>
            </w:r>
          </w:p>
        </w:tc>
      </w:tr>
      <w:tr w:rsidR="0045676F" w:rsidTr="00B34636">
        <w:trPr>
          <w:gridAfter w:val="1"/>
          <w:wAfter w:w="7" w:type="pct"/>
          <w:trHeight w:val="17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Default="0045676F">
            <w: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Default="0045676F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供应商业绩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Pr="009E2CEA" w:rsidRDefault="009E2CEA" w:rsidP="009E2CEA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投标人具备园林绿化工程资质满三年以上，园林绿化养护</w:t>
            </w:r>
            <w:r w:rsidR="00B34636"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实际工作三</w:t>
            </w: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年以上。</w:t>
            </w:r>
            <w:r w:rsidR="00B34636"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每减少一年扣2分，扣完为止。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Default="00B34636">
            <w:r>
              <w:t>1</w:t>
            </w:r>
            <w:r>
              <w:rPr>
                <w:rFonts w:hint="eastAsia"/>
              </w:rPr>
              <w:t>0</w:t>
            </w:r>
            <w:r w:rsidR="0045676F">
              <w:rPr>
                <w:rFonts w:hint="eastAsia"/>
              </w:rPr>
              <w:t>分</w:t>
            </w:r>
          </w:p>
        </w:tc>
      </w:tr>
      <w:tr w:rsidR="0045676F" w:rsidTr="00B34636">
        <w:trPr>
          <w:gridAfter w:val="1"/>
          <w:wAfter w:w="7" w:type="pct"/>
          <w:trHeight w:val="556"/>
          <w:jc w:val="center"/>
        </w:trPr>
        <w:tc>
          <w:tcPr>
            <w:tcW w:w="4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Default="0045676F">
            <w:pPr>
              <w:jc w:val="center"/>
            </w:pPr>
            <w:r>
              <w:rPr>
                <w:rFonts w:ascii="宋体" w:hAnsi="宋体" w:cs="宋体" w:hint="eastAsia"/>
              </w:rPr>
              <w:t>第三部分</w:t>
            </w:r>
            <w:r>
              <w:t xml:space="preserve"> </w:t>
            </w:r>
            <w:r>
              <w:rPr>
                <w:rFonts w:hint="eastAsia"/>
              </w:rPr>
              <w:t>施工</w:t>
            </w:r>
            <w:r>
              <w:rPr>
                <w:rFonts w:ascii="宋体" w:hAnsi="宋体" w:cs="宋体" w:hint="eastAsia"/>
              </w:rPr>
              <w:t>技术方案（</w:t>
            </w:r>
            <w:r w:rsidR="00BE679A">
              <w:rPr>
                <w:rFonts w:ascii="宋体" w:hAnsi="宋体" w:hint="eastAsia"/>
              </w:rPr>
              <w:t>70</w:t>
            </w:r>
            <w:r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Default="0045676F">
            <w:r>
              <w:rPr>
                <w:rFonts w:hint="eastAsia"/>
              </w:rPr>
              <w:t>分值</w:t>
            </w:r>
          </w:p>
        </w:tc>
      </w:tr>
      <w:tr w:rsidR="0045676F" w:rsidTr="00B34636">
        <w:trPr>
          <w:trHeight w:val="629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Default="0045676F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Default="00BE679A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施工方案及方法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Default="0045676F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1、 施工方案及方法的针对性强、合理性强、可行性强，与本工程结合的紧密性强的，得 9 分；</w:t>
            </w:r>
          </w:p>
          <w:p w:rsidR="0045676F" w:rsidRDefault="0045676F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2、 施工方案及方法有针对性、合理、可行，能与本工程相结合的，得 6 分；</w:t>
            </w:r>
          </w:p>
          <w:p w:rsidR="0045676F" w:rsidRDefault="0045676F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3、 施工方案及方法合理、可行，但无项目针对性的，得 3分；</w:t>
            </w:r>
          </w:p>
          <w:p w:rsidR="0045676F" w:rsidRDefault="0045676F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4、 有施工方案及方法，但内容不全面，合理、可行性一般的，得1分；</w:t>
            </w:r>
          </w:p>
          <w:p w:rsidR="0045676F" w:rsidRDefault="0045676F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5、 其他，得 0 分。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Default="00B34636">
            <w:r>
              <w:rPr>
                <w:rFonts w:hint="eastAsia"/>
              </w:rPr>
              <w:t>20</w:t>
            </w:r>
            <w:r w:rsidR="0045676F">
              <w:rPr>
                <w:rFonts w:ascii="宋体" w:hAnsi="宋体" w:cs="宋体" w:hint="eastAsia"/>
              </w:rPr>
              <w:t>分</w:t>
            </w:r>
          </w:p>
        </w:tc>
      </w:tr>
      <w:tr w:rsidR="0045676F" w:rsidTr="00B34636">
        <w:trPr>
          <w:trHeight w:val="846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Default="0045676F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6F" w:rsidRDefault="00BE679A">
            <w:pPr>
              <w:autoSpaceDE w:val="0"/>
              <w:autoSpaceDN w:val="0"/>
              <w:adjustRightInd w:val="0"/>
              <w:spacing w:line="360" w:lineRule="auto"/>
              <w:ind w:right="72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各季节苗木的养管措施</w:t>
            </w:r>
          </w:p>
          <w:p w:rsidR="0045676F" w:rsidRDefault="0045676F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Default="002123D2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施工方</w:t>
            </w:r>
            <w:r w:rsidR="0045676F"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提供的养管措施包括但不限于苗木整形及修剪方案、病虫害防治方案、冬季防火方案、养管计划及各季节苗木的养管措施等。</w:t>
            </w:r>
          </w:p>
          <w:p w:rsidR="0045676F" w:rsidRDefault="0045676F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1、 措施全面，不漏项，专业性、针对性强，操作可行的，得 8 分；</w:t>
            </w:r>
          </w:p>
          <w:p w:rsidR="0045676F" w:rsidRDefault="0045676F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2、 措施全面，有条理但表述简单，有可行性但针对性不强的，得 6 分；</w:t>
            </w:r>
          </w:p>
          <w:p w:rsidR="0045676F" w:rsidRDefault="0045676F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3、 提供各项措施，但内容表述不全面，无项目针对性的，得 4 分；</w:t>
            </w:r>
          </w:p>
          <w:p w:rsidR="0045676F" w:rsidRDefault="0045676F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 xml:space="preserve">4、 提供措施内容不全面，有缺项、漏项的，得 2 </w:t>
            </w: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lastRenderedPageBreak/>
              <w:t>分；</w:t>
            </w:r>
          </w:p>
          <w:p w:rsidR="0045676F" w:rsidRDefault="0045676F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5、 未提供措施的，得 0 分。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Default="00BE679A">
            <w:r>
              <w:rPr>
                <w:rFonts w:hint="eastAsia"/>
              </w:rPr>
              <w:lastRenderedPageBreak/>
              <w:t>15</w:t>
            </w:r>
            <w:r w:rsidR="0045676F">
              <w:rPr>
                <w:rFonts w:ascii="宋体" w:hAnsi="宋体" w:cs="宋体" w:hint="eastAsia"/>
              </w:rPr>
              <w:t>分</w:t>
            </w:r>
          </w:p>
        </w:tc>
      </w:tr>
      <w:tr w:rsidR="0045676F" w:rsidTr="00B34636">
        <w:trPr>
          <w:trHeight w:val="416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Default="00B34636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Default="00BE679A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施工重点、难点分析及解决措施和方案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Default="0045676F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1、 难点、重点把握的准确性很好，</w:t>
            </w:r>
            <w:proofErr w:type="gramStart"/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绿植运输</w:t>
            </w:r>
            <w:proofErr w:type="gramEnd"/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保障措施、栽植措施、养护措施全面详细，措施合理性强、可行性强，得 8 分；</w:t>
            </w:r>
          </w:p>
          <w:p w:rsidR="0045676F" w:rsidRDefault="0045676F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2、 难点、重点把握的准确性描述不清晰，</w:t>
            </w:r>
            <w:proofErr w:type="gramStart"/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绿植运输</w:t>
            </w:r>
            <w:proofErr w:type="gramEnd"/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保障措施、栽植措施、养护措施全面但粗略，合理性与可行性一般的，得 6 分；</w:t>
            </w:r>
          </w:p>
          <w:p w:rsidR="0045676F" w:rsidRDefault="0045676F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3、 难点、重点把握的准确性考虑不全面，</w:t>
            </w:r>
            <w:proofErr w:type="gramStart"/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绿植运输</w:t>
            </w:r>
            <w:proofErr w:type="gramEnd"/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保障措施、栽植措施、养护措施不全的，得 4 分；</w:t>
            </w:r>
          </w:p>
          <w:p w:rsidR="0045676F" w:rsidRDefault="0045676F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4、施工重点、难点分析及解决措施和方案，有缺漏的，得2分。</w:t>
            </w:r>
          </w:p>
          <w:p w:rsidR="0045676F" w:rsidRDefault="0045676F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5、未提供的，得 0 分。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Default="00BE679A">
            <w:r>
              <w:rPr>
                <w:rFonts w:hint="eastAsia"/>
              </w:rPr>
              <w:t>15</w:t>
            </w:r>
            <w:r w:rsidR="0045676F">
              <w:rPr>
                <w:rFonts w:hint="eastAsia"/>
              </w:rPr>
              <w:t>分</w:t>
            </w:r>
          </w:p>
        </w:tc>
      </w:tr>
      <w:tr w:rsidR="0045676F" w:rsidTr="00B34636">
        <w:trPr>
          <w:trHeight w:val="416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Default="00B34636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Default="00BE679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施工质量保证措施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Default="0045676F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1、质量保证措施内容充实、可行性强，针对本项目的质量保证措施全面详细的，得 8分；</w:t>
            </w:r>
          </w:p>
          <w:p w:rsidR="0045676F" w:rsidRDefault="0045676F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2、质量保证措施内容基本充实的、操作可行，针对本项目的质量保证措施较全面的，得 6分；</w:t>
            </w:r>
          </w:p>
          <w:p w:rsidR="0045676F" w:rsidRDefault="0045676F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3、质量保证措施内容不充实、可行性一般，针对本项目的质量保证措施不全面的，得 4分；</w:t>
            </w:r>
          </w:p>
          <w:p w:rsidR="0045676F" w:rsidRDefault="0045676F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4、其他，得 0 分。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Default="00BE679A">
            <w:r>
              <w:rPr>
                <w:rFonts w:hint="eastAsia"/>
              </w:rPr>
              <w:t>10</w:t>
            </w:r>
            <w:r w:rsidR="0045676F">
              <w:rPr>
                <w:rFonts w:hint="eastAsia"/>
              </w:rPr>
              <w:t>分</w:t>
            </w:r>
          </w:p>
        </w:tc>
      </w:tr>
      <w:tr w:rsidR="0045676F" w:rsidTr="00B34636">
        <w:trPr>
          <w:trHeight w:val="416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Default="00BE679A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Default="00BE679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安全、文明施工及雨季施工措施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Default="0045676F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1、安全、文明施工措施及雨季施工措施全面，可行性强、针对性强的，得 8分；</w:t>
            </w:r>
          </w:p>
          <w:p w:rsidR="0045676F" w:rsidRDefault="0045676F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2、安全、文明施工措施及雨季施工措施全面但表述简单、有可行性但针对性不强的，得 6 分；</w:t>
            </w:r>
          </w:p>
          <w:p w:rsidR="0045676F" w:rsidRDefault="0045676F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3、安全、文明施工措施及雨季施工措施不全面，可行性、针对性一般的，得4 分；</w:t>
            </w:r>
          </w:p>
          <w:p w:rsidR="0045676F" w:rsidRDefault="0045676F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4、安全、文明施工措施及雨季施工措施，有缺漏项的，得2分；</w:t>
            </w:r>
          </w:p>
          <w:p w:rsidR="0045676F" w:rsidRDefault="0045676F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......." w:hint="eastAsia"/>
                <w:bCs/>
                <w:kern w:val="0"/>
                <w:sz w:val="24"/>
                <w:szCs w:val="24"/>
              </w:rPr>
              <w:t>5、未提供安全、文明施工措施及雨季施工措施的，得 0 分。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6F" w:rsidRDefault="00BE679A">
            <w:r>
              <w:rPr>
                <w:rFonts w:hint="eastAsia"/>
              </w:rPr>
              <w:t>10</w:t>
            </w:r>
            <w:r w:rsidR="0045676F">
              <w:rPr>
                <w:rFonts w:hint="eastAsia"/>
              </w:rPr>
              <w:t>分</w:t>
            </w:r>
          </w:p>
        </w:tc>
      </w:tr>
      <w:tr w:rsidR="00B34636" w:rsidTr="00B34636">
        <w:trPr>
          <w:trHeight w:val="416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36" w:rsidRDefault="00B34636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36" w:rsidRDefault="00B34636">
            <w:pPr>
              <w:rPr>
                <w:bCs/>
                <w:sz w:val="24"/>
              </w:rPr>
            </w:pP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36" w:rsidRDefault="00B34636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36" w:rsidRDefault="00B34636"/>
        </w:tc>
      </w:tr>
      <w:tr w:rsidR="00B34636" w:rsidTr="00B34636">
        <w:trPr>
          <w:trHeight w:val="416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36" w:rsidRDefault="00B34636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36" w:rsidRDefault="00B34636">
            <w:pPr>
              <w:rPr>
                <w:bCs/>
                <w:sz w:val="24"/>
              </w:rPr>
            </w:pPr>
          </w:p>
        </w:tc>
        <w:tc>
          <w:tcPr>
            <w:tcW w:w="3191" w:type="pct"/>
          </w:tcPr>
          <w:p w:rsidR="00B34636" w:rsidRDefault="00B34636">
            <w:pPr>
              <w:rPr>
                <w:rFonts w:ascii="宋体" w:hAnsi="宋体" w:cs="......."/>
                <w:bCs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36" w:rsidRDefault="00BE679A">
            <w:r>
              <w:rPr>
                <w:rFonts w:hint="eastAsia"/>
              </w:rPr>
              <w:t>100</w:t>
            </w:r>
          </w:p>
        </w:tc>
      </w:tr>
      <w:tr w:rsidR="00B34636" w:rsidTr="00B34636">
        <w:trPr>
          <w:gridAfter w:val="1"/>
          <w:wAfter w:w="7" w:type="pct"/>
          <w:trHeight w:val="509"/>
          <w:jc w:val="center"/>
        </w:trPr>
        <w:tc>
          <w:tcPr>
            <w:tcW w:w="4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36" w:rsidRDefault="00B34636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36" w:rsidRDefault="00B34636"/>
        </w:tc>
      </w:tr>
    </w:tbl>
    <w:p w:rsidR="0045676F" w:rsidRPr="00AA0408" w:rsidRDefault="0045676F" w:rsidP="00AA0408">
      <w:pPr>
        <w:spacing w:line="360" w:lineRule="auto"/>
      </w:pPr>
    </w:p>
    <w:sectPr w:rsidR="0045676F" w:rsidRPr="00AA0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0FC" w:rsidRDefault="00AB10FC" w:rsidP="00E31203">
      <w:r>
        <w:separator/>
      </w:r>
    </w:p>
  </w:endnote>
  <w:endnote w:type="continuationSeparator" w:id="0">
    <w:p w:rsidR="00AB10FC" w:rsidRDefault="00AB10FC" w:rsidP="00E3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......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0FC" w:rsidRDefault="00AB10FC" w:rsidP="00E31203">
      <w:r>
        <w:separator/>
      </w:r>
    </w:p>
  </w:footnote>
  <w:footnote w:type="continuationSeparator" w:id="0">
    <w:p w:rsidR="00AB10FC" w:rsidRDefault="00AB10FC" w:rsidP="00E31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03"/>
    <w:rsid w:val="001D22DB"/>
    <w:rsid w:val="002123D2"/>
    <w:rsid w:val="002174AA"/>
    <w:rsid w:val="003E5CE4"/>
    <w:rsid w:val="0045676F"/>
    <w:rsid w:val="00483B82"/>
    <w:rsid w:val="004B2D2A"/>
    <w:rsid w:val="00522CB5"/>
    <w:rsid w:val="0055082C"/>
    <w:rsid w:val="006E2DD0"/>
    <w:rsid w:val="009D259D"/>
    <w:rsid w:val="009E2CEA"/>
    <w:rsid w:val="00AA0408"/>
    <w:rsid w:val="00AB10FC"/>
    <w:rsid w:val="00B34636"/>
    <w:rsid w:val="00BE679A"/>
    <w:rsid w:val="00C64421"/>
    <w:rsid w:val="00CC269D"/>
    <w:rsid w:val="00E31203"/>
    <w:rsid w:val="00F6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12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203"/>
    <w:rPr>
      <w:sz w:val="18"/>
      <w:szCs w:val="18"/>
    </w:rPr>
  </w:style>
  <w:style w:type="table" w:styleId="a5">
    <w:name w:val="Table Grid"/>
    <w:basedOn w:val="a1"/>
    <w:uiPriority w:val="59"/>
    <w:rsid w:val="00AA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12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203"/>
    <w:rPr>
      <w:sz w:val="18"/>
      <w:szCs w:val="18"/>
    </w:rPr>
  </w:style>
  <w:style w:type="table" w:styleId="a5">
    <w:name w:val="Table Grid"/>
    <w:basedOn w:val="a1"/>
    <w:uiPriority w:val="59"/>
    <w:rsid w:val="00AA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李连胜</cp:lastModifiedBy>
  <cp:revision>10</cp:revision>
  <dcterms:created xsi:type="dcterms:W3CDTF">2023-03-27T02:54:00Z</dcterms:created>
  <dcterms:modified xsi:type="dcterms:W3CDTF">2023-03-29T00:41:00Z</dcterms:modified>
</cp:coreProperties>
</file>